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86R23138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Dutton, Thompson of Harris,</w:t>
      </w:r>
      <w:r xml:space="preserve">
        <w:tab wTab="150" tlc="none" cTlc="0"/>
      </w:r>
      <w:r>
        <w:t xml:space="preserve">H.B.</w:t>
      </w:r>
      <w:r xml:space="preserve">
        <w:t> </w:t>
      </w:r>
      <w:r>
        <w:t xml:space="preserve">No.</w:t>
      </w:r>
      <w:r xml:space="preserve">
        <w:t> </w:t>
      </w:r>
      <w:r>
        <w:t xml:space="preserve">1771</w:t>
      </w:r>
    </w:p>
    <w:p w:rsidR="003F3435" w:rsidRDefault="0032493E">
      <w:pPr>
        <w:jc w:val="both"/>
      </w:pPr>
      <w:r xml:space="preserve">
        <w:t> </w:t>
      </w:r>
      <w:r xml:space="preserve">
        <w:t> </w:t>
      </w:r>
      <w:r xml:space="preserve">
        <w:t> </w:t>
      </w:r>
      <w:r xml:space="preserve">
        <w:t> </w:t>
      </w:r>
      <w:r xml:space="preserve">
        <w:t> </w:t>
      </w:r>
      <w:r>
        <w:t xml:space="preserve">Shaheen, Miller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1771:</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prosecuting or referring to juvenile court certain persons for certain conduct constituting the offense of prostitution and to the provision of services to those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Child Sex Trafficking Victims Protections and Provisions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51.03, Family Code, is amended by amending Subsection (b) and adding Subsections (d) and (d-1)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43.02(b)</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(a)(1), conduct that violates Section 43.02(a), Penal Code, is not delinquent conduct or conduct indicating a need for supervision.  A child may not be referred to the juvenile court for conduct that violates Section 43.02(a), Penal Code.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law enforcement officer taking possession of a child who is suspected of engaging in conduct that violates Section 43.02(a), Penal Code, may not arrest the child or refer the child to juvenile court.  The officer shall use best efforts to deliver the child to the child's parent or to another person entitled to take possession of the child.  If the parent or other person is not immediately available, the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a local service provider or care coordinator who will, in consultation with the child sex trafficking prevention unit established under Section 772.0062, Government Code, and the governor's program for victims of child sex trafficking established under Section 772.0063, Government Code, facilitate the assignment of a caseworker for the child to create a customized package of services to fit the child's immediate and long-term rehabilitation and treatment needs, including medical, psychiatric, psychological, safety, and housing needs;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local service provider or care coordinator is not available, transfer possession of the child to the Department of Family and Protective Services in accordance with Section 262.104.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