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86R2032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1776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property owned by navigation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5007, Special District Local Laws Code, is amended by adding Sections 5007.011 and 5007.012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5007.011.</w:t>
      </w:r>
      <w:r>
        <w:rPr>
          <w:u w:val="single"/>
        </w:rPr>
        <w:t xml:space="preserve"> </w:t>
      </w:r>
      <w:r>
        <w:rPr>
          <w:u w:val="single"/>
        </w:rPr>
        <w:t xml:space="preserve"> </w:t>
      </w:r>
      <w:r>
        <w:rPr>
          <w:u w:val="single"/>
        </w:rPr>
        <w:t xml:space="preserve">SALE OF CERTAIN REAL PROPERTY.  (a) In this section, "taxing unit" has the meaning assigned by Section 1.04,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may not sell real property to a person if the ownership and use of the property under the new owner would render the property not subject to ad valorem taxation, unless the sale is approved by a resolution adopted by each taxing unit, other than the authority, in which the property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5007.012.</w:t>
      </w:r>
      <w:r>
        <w:rPr>
          <w:u w:val="single"/>
        </w:rPr>
        <w:t xml:space="preserve"> </w:t>
      </w:r>
      <w:r>
        <w:rPr>
          <w:u w:val="single"/>
        </w:rPr>
        <w:t xml:space="preserve"> </w:t>
      </w:r>
      <w:r>
        <w:rPr>
          <w:u w:val="single"/>
        </w:rPr>
        <w:t xml:space="preserve">SALE OR DEVELOPMENT OF REAL DISTRICT PROPERTY.  (a) This section applies only to real property owned by the authority on Pelican Island.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2022, the authority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substantially develop the property;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sell the property at an auction open only to bidders other than entities approved by the Internal Revenue Service as tax exempt under Section 501(c)(3), Internal Revenue Code of 1986.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60, Water Code, is amended by adding Section 60.006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60.006.</w:t>
      </w:r>
      <w:r>
        <w:rPr>
          <w:u w:val="single"/>
        </w:rPr>
        <w:t xml:space="preserve"> </w:t>
      </w:r>
      <w:r>
        <w:rPr>
          <w:u w:val="single"/>
        </w:rPr>
        <w:t xml:space="preserve"> </w:t>
      </w:r>
      <w:r>
        <w:rPr>
          <w:u w:val="single"/>
        </w:rPr>
        <w:t xml:space="preserve">DISTRICT PROPERTY.  Notwithstanding any other law, a district may not own real property outside the district, other than an easement or right-of-way necessary to gain access to district property or perform district functions.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sections of the Water Code are repealed:</w:t>
      </w:r>
    </w:p>
    <w:p w:rsidR="003F3435" w:rsidRDefault="0032493E">
      <w:pPr>
        <w:spacing w:line="480" w:lineRule="auto"/>
        <w:ind w:firstLine="1440"/>
        <w:jc w:val="both"/>
      </w:pPr>
      <w:r>
        <w:t xml:space="preserve">(1)</w:t>
      </w:r>
      <w:r xml:space="preserve">
        <w:t> </w:t>
      </w:r>
      <w:r xml:space="preserve">
        <w:t> </w:t>
      </w:r>
      <w:r>
        <w:t xml:space="preserve">Section 62.1071;</w:t>
      </w:r>
    </w:p>
    <w:p w:rsidR="003F3435" w:rsidRDefault="0032493E">
      <w:pPr>
        <w:spacing w:line="480" w:lineRule="auto"/>
        <w:ind w:firstLine="1440"/>
        <w:jc w:val="both"/>
      </w:pPr>
      <w:r>
        <w:t xml:space="preserve">(2)</w:t>
      </w:r>
      <w:r xml:space="preserve">
        <w:t> </w:t>
      </w:r>
      <w:r xml:space="preserve">
        <w:t> </w:t>
      </w:r>
      <w:r>
        <w:t xml:space="preserve">Section 62.1072; and</w:t>
      </w:r>
    </w:p>
    <w:p w:rsidR="003F3435" w:rsidRDefault="0032493E">
      <w:pPr>
        <w:spacing w:line="480" w:lineRule="auto"/>
        <w:ind w:firstLine="1440"/>
        <w:jc w:val="both"/>
      </w:pPr>
      <w:r>
        <w:t xml:space="preserve">(3)</w:t>
      </w:r>
      <w:r xml:space="preserve">
        <w:t> </w:t>
      </w:r>
      <w:r xml:space="preserve">
        <w:t> </w:t>
      </w:r>
      <w:r>
        <w:t xml:space="preserve">Section 62.209.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navigation district in violation of Section 60.006, Water Code, as added by this Act, on the effective date of this Act, is not subject to penalty or suit related to that violation if the navigation district completes a sale or transfer of the property the ownership of which results in the violation not later than September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