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86R1934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1777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reduction of the amount required to be paid by a school district to achieve the equalized wealth level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41, Education Code, is amended by adding Section 41.0933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41.0933.</w:t>
      </w:r>
      <w:r>
        <w:rPr>
          <w:u w:val="single"/>
        </w:rPr>
        <w:t xml:space="preserve"> </w:t>
      </w:r>
      <w:r>
        <w:rPr>
          <w:u w:val="single"/>
        </w:rPr>
        <w:t xml:space="preserve"> </w:t>
      </w:r>
      <w:r>
        <w:rPr>
          <w:u w:val="single"/>
        </w:rPr>
        <w:t xml:space="preserve">REDUCTION FOR DISTRICT SECURITY EXPENSES.  (a) </w:t>
      </w:r>
      <w:r>
        <w:rPr>
          <w:u w:val="single"/>
        </w:rPr>
        <w:t xml:space="preserve"> </w:t>
      </w:r>
      <w:r>
        <w:rPr>
          <w:u w:val="single"/>
        </w:rPr>
        <w:t xml:space="preserve">Notwithstanding any other provision of this chapter, a school district that executes an agreement to purchase all attendance credits necessary to reduce the district's wealth per student to the equalized wealth level may reduce the total amount required to be paid for attendance credits under Section 41.093 by the amount expended by the district to pay campus security costs during the preceding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reduction under Subsection (a) shall be made after making any reduction to which the district is entitled under Section 41.0931, 41.097, or 41.098 or another provision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