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86R1898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H.B.</w:t>
      </w:r>
      <w:r xml:space="preserve">
        <w:t> </w:t>
      </w:r>
      <w:r>
        <w:t xml:space="preserve">No.</w:t>
      </w:r>
      <w:r xml:space="preserve">
        <w:t> </w:t>
      </w:r>
      <w:r>
        <w:t xml:space="preserve">1778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weight limitations for certain vehicles transporting agricultural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622, Transportation Code, is amended by adding Section 622.102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622.102.</w:t>
      </w:r>
      <w:r>
        <w:rPr>
          <w:u w:val="single"/>
        </w:rPr>
        <w:t xml:space="preserve"> </w:t>
      </w:r>
      <w:r>
        <w:rPr>
          <w:u w:val="single"/>
        </w:rPr>
        <w:t xml:space="preserve"> </w:t>
      </w:r>
      <w:r>
        <w:rPr>
          <w:u w:val="single"/>
        </w:rPr>
        <w:t xml:space="preserve">VEHICLES TRANSPORTING AGRICULTURAL PRODUCTS DURING HARVEST SEASON.  (a)  This section applies only to a vehicle or a combination of vehicles being used to transport agricultural products that are in their natural state and are being transported not more than 100 miles from the place of production to the place of first marketing or first processing.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vehicle or combination of vehicles to which this section applies may be operated at a weight that exceeds the weight limitations of Section 621.101 by not more than 10 percent if the vehicle or combination of vehicles is operated during the harvest season for the products being transported.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in coordination with the Texas A&amp;M AgriLife Extension Service, by rule shall determine the harvest season of each agricultural product authorized to be transported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authorize the operation on the national system of interstate and defense highways in this state of a vehicle or combination of vehicles of a weight greater than that permitted under 23 U.S.C. Section 127.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authorize the operation of a vehicle or combination of vehicles in excess of the weight authorized for a load-zoned bridge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