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86R25710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Miller, Frank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mandatory dismissal date of certain suits affecting the parent-child relationship involving the Department of Family and Protective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263.401, Family Code, is amended by adding Subsection (b-2)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When considering under Subsection (b) whether to find that extraordinary circumstances necessitate the child remaining in the temporary managing conservatorship of the department for a case in which the court orders a parent to complete a substance abuse treatment program, the court shall consider whether the parent made a good faith effort to successfully complete the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suit affecting the parent-child relationship filed on or after the effective date of this Act. A suit affecting the parent-child relationship filed before that date is governed by the law in effect on the date the suit was filed, and that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