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1780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mandatory dismissal date of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263.401, Family Code, is amended by adding Subsection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considering under Subsection (b) whether to find that extraordinary circumstances necessitate the child remaining in the temporary managing conservatorship of the department for a case in which the court orders a parent to complete a substance abuse treatment program, the court shall consider whether the parent made a good faith effort to successfully complete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suit affecting the parent-child relationship filed on or after the effective date of this Act.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1780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1780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