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Frank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mandatory dismissal date of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considering under Subsection (b) whether to find that extraordinary circumstances necessitate the child remaining in the temporary managing conservatorship of the department for a case in which the court orders a parent to complete a substance abuse treatment program, the court shall consider whether the parent made a good faith effort to successfully complete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suit affecting the parent-child relationship filed on or after the effective date of this Act.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