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86R4312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plan to increase the use of telemedicine  medical services and telehealth services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531.021611.</w:t>
      </w:r>
      <w:r>
        <w:rPr>
          <w:u w:val="single"/>
        </w:rPr>
        <w:t xml:space="preserve"> </w:t>
      </w:r>
      <w:r>
        <w:rPr>
          <w:u w:val="single"/>
        </w:rPr>
        <w:t xml:space="preserve"> </w:t>
      </w:r>
      <w:r>
        <w:rPr>
          <w:u w:val="single"/>
        </w:rPr>
        <w:t xml:space="preserve">ACTION PLAN TO EXPAND TELEMEDICINE MEDICAL SERVICES AND TELEHEALTH SERVICES.  (a)  The commission shall develop and implement an action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the use of and increase access to telemedicine medical services, telehealth services, and related mobile applications for those services by health care providers for the residents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availability of critical medical care and health care services to residents in this state in areas determined by the commission to be medically underserved, including the border region and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the action plan under Subsection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 the assistance of the Texas Hospital Association, the Texas Medical Association, teaching hospitals, and the statewide health coordinating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health care providers, advocacy groups, relevant federal agencies, and any other interested persons the commission considers necessary to develop the action plan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plan developed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short-term and long-term plan recommendations, including policy initiatives and reforms necessary to implement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and administrative reforms necessary to implement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options for the funding necessary to implement the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September 1, 2021: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submit to the governor and the legislature the recommendations, the statutory and administrative reforms, and the funding options described in Subsection (c) and short-term and long-term plans to implement those recommendations, reforms, and options;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begin implementing the short-term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2023, fully implement the short-term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September 1, 2029, fully implement the long-term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short-term and long-term plans in the update of the strategic plan for health and human services under Section 531.022,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