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86R9247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$100 and the defendant has previously been convicted two or more times of any grade of theft;</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w:t>
      </w:r>
      <w:r>
        <w:rPr>
          <w:u w:val="single"/>
        </w:rPr>
        <w:t xml:space="preserve">$100 or more but</w:t>
      </w:r>
      <w:r>
        <w:t xml:space="preserve"> less than $2,500 and</w:t>
      </w:r>
      <w:r>
        <w:t xml:space="preserve"> </w:t>
      </w:r>
      <w:r>
        <w:t xml:space="preserve">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