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local governmental entities to enter into an agreement to create a mutual aid law enforcement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362.002(b),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w:t>
      </w:r>
      <w:r>
        <w:rPr>
          <w:strike/>
        </w:rPr>
        <w:t xml:space="preserve">neighboring</w:t>
      </w:r>
      <w:r>
        <w:t xml:space="preserve">] municipality, joint airport, or [</w:t>
      </w:r>
      <w:r>
        <w:rPr>
          <w:strike/>
        </w:rPr>
        <w:t xml:space="preserve">contiguous</w:t>
      </w:r>
      <w:r>
        <w:t xml:space="preserve">] county to form a mutual aid law enforcement task force to cooperate in criminal investigations and law enforcement.  Peace officers employed by counties, municipalities, or joint airports covered by the agreement have only the additional investigative authority throughout the region as set forth in the agreement.  The agreement must provide for the compensation of peace officers involved in the activities of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1789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1789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