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86R16835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1790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1790: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lottery advertisement and promotion.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466, Government Code, is amended by adding Sections 466.111 and 466.112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466.111.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ADVERTISEMENT AND PROMOTION WITH FOR-PROFIT BUSINESS.  (a)  The commission may contract with one or more for-profit businesses to advertise or promote the lottery.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name, trademark, logo, or other identifying brand feature of a for-profit business with which the commission contracts under Subsection (a) may be included in advertisements or promotional materials for the lottery.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466.112.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 OF ADVERTISING SPACE.  (a)  The executive director may sell space for advertising on lottery equipment or products or through any medium.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advertisement must be approved by the executive director before space for the advertisement is sold under this section.  The executive director may not approve an advertisement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promotes the sale of tobacco or alcoholic beverages;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directed at persons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Proceeds from the sale of advertising space under this section shall be deposited into the state lottery account established under Section 466.355.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