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86R10090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1790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lottery advertisement and promotion.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466, Government Code, is amended by adding Section 466.111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466.111.</w:t>
      </w:r>
      <w:r>
        <w:rPr>
          <w:u w:val="single"/>
        </w:rPr>
        <w:t xml:space="preserve"> </w:t>
      </w:r>
      <w:r>
        <w:rPr>
          <w:u w:val="single"/>
        </w:rPr>
        <w:t xml:space="preserve"> </w:t>
      </w:r>
      <w:r>
        <w:rPr>
          <w:u w:val="single"/>
        </w:rPr>
        <w:t xml:space="preserve">ADVERTISEMENT AND PROMOTION WITH FOR-PROFIT BUSINESS.  (a)  The commission may contract with one or more for-profit businesses to advertise or promote the lottery.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name, trademark, logo, or other identifying brand feature of a for-profit business with which the commission contracts under Subsection (a) may be included in advertisement or promotional materials for the lottery.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466.251,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may sell advertising space on lottery tickets.  Proceeds from the advertising shall be deposited to the state lottery account established under Section 466.355.  The commission may not accept an advertisement promoting the sale of tobacco or alcoholic beverages.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