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86R27357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Lang, Toth, et al.</w:t>
      </w:r>
      <w:r xml:space="preserve">
        <w:tab wTab="150" tlc="none" cTlc="0"/>
      </w:r>
      <w:r>
        <w:t xml:space="preserve">H.B.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by license holders on property owned or leased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411.209, Government Code, is amended by amending Subsections (a), (d), and (f) and adding Subsection (j)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w:t>
      </w:r>
      <w:r>
        <w:rPr>
          <w:u w:val="single"/>
        </w:rPr>
        <w:t xml:space="preserve">take any action, including an action consisting of the provision of</w:t>
      </w:r>
      <w:r>
        <w:t xml:space="preserve"> [</w:t>
      </w:r>
      <w:r>
        <w:rPr>
          <w:strike/>
        </w:rPr>
        <w:t xml:space="preserve">provide</w:t>
      </w:r>
      <w:r>
        <w:t xml:space="preserve">] notice by a communication described by Section 30.06 </w:t>
      </w:r>
      <w:r>
        <w:rPr>
          <w:u w:val="single"/>
        </w:rPr>
        <w:t xml:space="preserve">or 30.07</w:t>
      </w:r>
      <w:r>
        <w:t xml:space="preserve">, Penal Code, </w:t>
      </w:r>
      <w:r>
        <w:rPr>
          <w:u w:val="single"/>
        </w:rPr>
        <w:t xml:space="preserve">that states or implies</w:t>
      </w:r>
      <w:r>
        <w:t xml:space="preserve"> [</w:t>
      </w:r>
      <w:r>
        <w:rPr>
          <w:strike/>
        </w:rPr>
        <w:t xml:space="preserve">or by any sign expressly referring to that law or to a license to carry a handgun,</w:t>
      </w:r>
      <w:r>
        <w:t xml:space="preserve">] that a license holder </w:t>
      </w:r>
      <w:r>
        <w:rPr>
          <w:u w:val="single"/>
        </w:rPr>
        <w:t xml:space="preserve">who is</w:t>
      </w:r>
      <w:r>
        <w:t xml:space="preserve">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or 46.035, Penal Code</w:t>
      </w:r>
      <w:r>
        <w:rPr>
          <w:u w:val="single"/>
        </w:rPr>
        <w:t xml:space="preserve">, or other law</w:t>
      </w:r>
      <w:r>
        <w:t xml:space="preserve">.</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w:t>
      </w:r>
      <w:r>
        <w:rPr>
          <w:u w:val="single"/>
        </w:rPr>
        <w:t xml:space="preserve">license holder</w:t>
      </w:r>
      <w:r>
        <w:t xml:space="preserve"> [</w:t>
      </w:r>
      <w:r>
        <w:rPr>
          <w:strike/>
        </w:rPr>
        <w:t xml:space="preserve">person</w:t>
      </w:r>
      <w:r>
        <w:t xml:space="preserve">] provides the agency or subdivision a written notice that describes the </w:t>
      </w:r>
      <w:r>
        <w:rPr>
          <w:u w:val="single"/>
        </w:rPr>
        <w:t xml:space="preserve">location and general facts of the</w:t>
      </w:r>
      <w:r>
        <w:t xml:space="preserve"> violation [</w:t>
      </w:r>
      <w:r>
        <w:rPr>
          <w:strike/>
        </w:rPr>
        <w:t xml:space="preserve">and specific location of the sign found to be in violation</w:t>
      </w:r>
      <w:r>
        <w:t xml:space="preserve">] and the agency or subdivision does not cure the violation before the end of the third business day after the date of receiving the written notice.  A complaint filed </w:t>
      </w:r>
      <w:r>
        <w:rPr>
          <w:u w:val="single"/>
        </w:rPr>
        <w:t xml:space="preserve">with the attorney general</w:t>
      </w:r>
      <w:r>
        <w:t xml:space="preserve"> under this subsection must include evidence of the violation and a copy of the written notice </w:t>
      </w:r>
      <w:r>
        <w:rPr>
          <w:u w:val="single"/>
        </w:rPr>
        <w:t xml:space="preserve">provided to the agency or subdivision</w:t>
      </w:r>
      <w:r>
        <w:t xml:space="preserv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w:t>
      </w:r>
      <w:r>
        <w:rPr>
          <w:strike/>
        </w:rPr>
        <w:t xml:space="preserve">and specific location of the sign found to be in violation</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w:t>
      </w:r>
      <w:r>
        <w:rPr>
          <w:strike/>
        </w:rPr>
        <w:t xml:space="preserve">remove the sign and</w:t>
      </w:r>
      <w:r>
        <w:t xml:space="preserve">] cure the violation to avoid the penalty, unless the agency or political subdivision was found liable by a court for previously violating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"premises" has the meaning assigned by Section 46.035,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411.209, Government Code, as amended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