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86R9103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1794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price transparency for certain prescription drugs; authorizing civil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Health and Safety Code, is amended by adding Chapter 441 to read as follows:</w:t>
      </w:r>
    </w:p>
    <w:p w:rsidR="003F3435" w:rsidRDefault="0032493E">
      <w:pPr>
        <w:spacing w:line="480" w:lineRule="auto"/>
        <w:jc w:val="center"/>
      </w:pPr>
      <w:r>
        <w:rPr>
          <w:u w:val="single"/>
        </w:rPr>
        <w:t xml:space="preserve">CHAPTER 441.  PRESCRIPTION DRUG PRICE TRANSPARENCY</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drug price transparency advisory committee established under Subchapter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"Average wholesale price" means the average wholesale cost of an expensive drug that is based on the Medi-Span price references for the drug's 11-digit national drug code as submitted and used by the dispensing pharmacy to fill the prescription for the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"Expensive drug" means a prescription drug made available by a manufacturer in this state that has a wholesale acquisition cost of $2,500 or more per year or through the course of a patient's treatment.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"Manufacturer"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by the United States Food and Drug Administration to market and sell an expensive drug in the United States as an originator or license holder;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directly or indirectly, through one or more intermediaries, controls, is controlled by, or is under common control with a person described by Paragraph (A).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"Purchaser" means a person who purchases a prescription drug under a health benefit plan,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or an administrator of a health benefit plan sponsored by this state,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state Medicaid program operated under Chapter 32, Human Resources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basic coverage plan under Chapter 1551, Insurance Code;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child health plan program under Chapter 62;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political subdivision of this state;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benefit plan issuer subject to regulation by this state;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pharmacy benefit manager as defined by Section 4151.151, Insurance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"Therapeutic class" means a therapeutic category or class of prescription drugs established by the United States Pharmacopeia that reflects therapeutic uses of drugs based on the International Classification of Diseases diagnostic codes.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"Wholesale acquisition cost" has the meaning assigned by 42 U.S.C. Section 1395w-3a.</w:t>
      </w:r>
    </w:p>
    <w:p w:rsidR="003F3435" w:rsidRDefault="0032493E">
      <w:pPr>
        <w:spacing w:line="480" w:lineRule="auto"/>
        <w:jc w:val="center"/>
      </w:pPr>
      <w:r>
        <w:rPr>
          <w:u w:val="single"/>
        </w:rPr>
        <w:t xml:space="preserve">SUBCHAPTER B.  MANUFACTURER REPORTING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441.0051.</w:t>
      </w:r>
      <w:r>
        <w:rPr>
          <w:u w:val="single"/>
        </w:rPr>
        <w:t xml:space="preserve"> </w:t>
      </w:r>
      <w:r>
        <w:rPr>
          <w:u w:val="single"/>
        </w:rPr>
        <w:t xml:space="preserve"> </w:t>
      </w:r>
      <w:r>
        <w:rPr>
          <w:u w:val="single"/>
        </w:rPr>
        <w:t xml:space="preserve">ANNUAL REPORT REQUIRED.  Not later than March 31 of each year, a manufacturer of an expensive drug sold or offered for sale in this state shall submit a report to the department in the form and manner prescribed by department rule and in accordance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441.0052.</w:t>
      </w:r>
      <w:r>
        <w:rPr>
          <w:u w:val="single"/>
        </w:rPr>
        <w:t xml:space="preserve"> </w:t>
      </w:r>
      <w:r>
        <w:rPr>
          <w:u w:val="single"/>
        </w:rPr>
        <w:t xml:space="preserve"> </w:t>
      </w:r>
      <w:r>
        <w:rPr>
          <w:u w:val="single"/>
        </w:rPr>
        <w:t xml:space="preserve">REPORT CONTENTS.  A manufacturer shall include in the report described by Section 441.0051 for each expensive drug: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research and development costs for the drug, including the costs: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incurred by the manufacturer;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incurred by any predecessor to the manufacturer;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incurred by any other person;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paid by or through governmental sources or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intellectual property rights, approvals, and associated regulatory costs for the drug,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list of all product and process patents and all data market and exclusivity awarded by the United States Patent and Trademark Office for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 reverse payment settlements involving the drug;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regulatory costs paid by the manufacturer or its predecessors in obtaining the rights and approvals, including the United States Food and Drug Administration user and filing fees and patent filing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manufacturing, production, marketing, and advertising costs,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annual and cumulative itemized costs to produce the drug from the time the manufacturer began producing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manufacturer's total direct costs for materials, manufacturing, and administration attributable to the drug;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 marketing and advertising costs to promote the drug directly to consumers,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costs associated with consumer copay coupons;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amounts redeemed with consumer copay coupons;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marketing and advertising costs for promotion of the drug directly or indirectly to individuals who are prescribed the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prices of the drug and revenue from the drug's sales,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revenues from sales in this state and in the United States, listed separately, for each of the preceding five calendar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cumulative monthly history of increases in the average wholesale price or wholesale acquisition cost for the drug in the preceding five calendar years, including each month in which an increase took effect;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manufacturer's federal, state, and local income tax rates, governmental benefits, and credits,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federal income tax rate paid by the manufacturer;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paid by any person other than the manufacturer for materials, manufacturing, marketing, advertising, administration, and other costs associated with the drug, including any federal, state, or local tax credits or subsidies, tax deductions, grants, or other support received or deferred;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income from any source for any of the following activities occurring in a foreign country by or on behalf of the manufacturer: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research, development, manufacture, or production of the drug;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sale, exchange, or disposition of the drug;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lease, rental, or licensing of the drug;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manufacturer's financial assistance to patients,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financial assistance to patients the manufacturer has provided for the drug during the preceding five calendar years,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discounts;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rebates and patient prescription assistance programs;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copay assistance costs;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total donations to patient assistance nonprofits and the related tax deductions;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patients who have benefited from the manufacturer's financial assistance for each of the preceding five calendar years;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comparative effectiveness of the drug,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therapeutic class of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names of any other brand or generic drug approved by the United States Food and Drug Administration in the same therapeutic class;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clinical or pharmacoeconomic evidence indicating the drug's improved efficacy compared to all other brand or generic drugs described by Paragraph (B);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required to be included under rules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441.0053.</w:t>
      </w:r>
      <w:r>
        <w:rPr>
          <w:u w:val="single"/>
        </w:rPr>
        <w:t xml:space="preserve"> </w:t>
      </w:r>
      <w:r>
        <w:rPr>
          <w:u w:val="single"/>
        </w:rPr>
        <w:t xml:space="preserve"> </w:t>
      </w:r>
      <w:r>
        <w:rPr>
          <w:u w:val="single"/>
        </w:rPr>
        <w:t xml:space="preserve">MANUFACTURER DUTIES.  A manufacturer required to submit a report under Section 441.0051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separately identify by page number and line the information included in the report to the maximum extent possible to promote public transparency and understanding of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documentation for the information included in the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the information in the annual report audited by an independent third-party auditor before the report is filed with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information for the preceding calendar year unless otherwise required under this subchapter or a rule adopted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441.0054.</w:t>
      </w:r>
      <w:r>
        <w:rPr>
          <w:u w:val="single"/>
        </w:rPr>
        <w:t xml:space="preserve"> </w:t>
      </w:r>
      <w:r>
        <w:rPr>
          <w:u w:val="single"/>
        </w:rPr>
        <w:t xml:space="preserve"> </w:t>
      </w:r>
      <w:r>
        <w:rPr>
          <w:u w:val="single"/>
        </w:rPr>
        <w:t xml:space="preserve">PUBLIC INFORMATION.  (a)  A report described by Section 441.0051 is public information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post each report described by Section 441.0051 on the department's Internet website.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441.0055.</w:t>
      </w:r>
      <w:r>
        <w:rPr>
          <w:u w:val="single"/>
        </w:rPr>
        <w:t xml:space="preserve"> </w:t>
      </w:r>
      <w:r>
        <w:rPr>
          <w:u w:val="single"/>
        </w:rPr>
        <w:t xml:space="preserve"> </w:t>
      </w:r>
      <w:r>
        <w:rPr>
          <w:u w:val="single"/>
        </w:rPr>
        <w:t xml:space="preserve">ENFORCEMENT.  (a)  If a manufacturer violates this subchapter or a rule adopted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manufacturer is liable for a civil penalty not to exceed $10,000 for each day the violation continues;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may bring a writ of mandamus against the manufacturer to compel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brings a writ of mandamus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attorney general shall provide written notice to the manufacturer not later than the seventh day before the date the attorney general brings the writ;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may recover attorney's fees and costs if the attorney general prevails.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sue to collect a civil penalty imposed under this section and may recover attorney's fees and costs if the attorney general prevails.</w:t>
      </w:r>
    </w:p>
    <w:p w:rsidR="003F3435" w:rsidRDefault="0032493E">
      <w:pPr>
        <w:spacing w:line="480" w:lineRule="auto"/>
        <w:jc w:val="center"/>
      </w:pPr>
      <w:r>
        <w:rPr>
          <w:u w:val="single"/>
        </w:rPr>
        <w:t xml:space="preserve">SUBCHAPTER C.  DISCLOSURE OF PRICE INCREASES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441.0101.</w:t>
      </w:r>
      <w:r>
        <w:rPr>
          <w:u w:val="single"/>
        </w:rPr>
        <w:t xml:space="preserve"> </w:t>
      </w:r>
      <w:r>
        <w:rPr>
          <w:u w:val="single"/>
        </w:rPr>
        <w:t xml:space="preserve"> </w:t>
      </w:r>
      <w:r>
        <w:rPr>
          <w:u w:val="single"/>
        </w:rPr>
        <w:t xml:space="preserve">NOTICE REQUIRED.  (a)  Not later than the 60th day before the date a price increase takes effect, a manufacturer shall submit written notice to the department before the manufacturer increases the average wholesale price or wholesale acquisition cost of an expensive drug by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lesser of 10 percent or $2,500 during a 12-month period;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 percent cumulatively during any 24-month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described by Subsection (a) must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justification for the price increase;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marketing budget for the drug in the preceding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drug was not developed by the manufacturer, the date the drug was acquired by the manufacturer and the price of the acquisition;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history of all price increases for the drug that took effect during the preceding five calendar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441.0102.</w:t>
      </w:r>
      <w:r>
        <w:rPr>
          <w:u w:val="single"/>
        </w:rPr>
        <w:t xml:space="preserve"> </w:t>
      </w:r>
      <w:r>
        <w:rPr>
          <w:u w:val="single"/>
        </w:rPr>
        <w:t xml:space="preserve"> </w:t>
      </w:r>
      <w:r>
        <w:rPr>
          <w:u w:val="single"/>
        </w:rPr>
        <w:t xml:space="preserve">DEPARTMENT DUTIES; RULES.  (a)  Not later than 15 days after the date a manufacturer submits a notice under Section 441.0101,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the notice on the department's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electronic notice of the submission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purchasers that have requested to receive notification;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State Board of Pharmacy.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by rule shall establish a process through which a purchaser may request to receive notice of a submission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441.0103.</w:t>
      </w:r>
      <w:r>
        <w:rPr>
          <w:u w:val="single"/>
        </w:rPr>
        <w:t xml:space="preserve"> </w:t>
      </w:r>
      <w:r>
        <w:rPr>
          <w:u w:val="single"/>
        </w:rPr>
        <w:t xml:space="preserve"> </w:t>
      </w:r>
      <w:r>
        <w:rPr>
          <w:u w:val="single"/>
        </w:rPr>
        <w:t xml:space="preserve">PUBLIC INFORMATION.  A notice described by Section 441.0101 is public information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441.0104.</w:t>
      </w:r>
      <w:r>
        <w:rPr>
          <w:u w:val="single"/>
        </w:rPr>
        <w:t xml:space="preserve"> </w:t>
      </w:r>
      <w:r>
        <w:rPr>
          <w:u w:val="single"/>
        </w:rPr>
        <w:t xml:space="preserve"> </w:t>
      </w:r>
      <w:r>
        <w:rPr>
          <w:u w:val="single"/>
        </w:rPr>
        <w:t xml:space="preserve">CIVIL PENALTY.  (a) </w:t>
      </w:r>
      <w:r>
        <w:rPr>
          <w:u w:val="single"/>
        </w:rPr>
        <w:t xml:space="preserve"> </w:t>
      </w:r>
      <w:r>
        <w:rPr>
          <w:u w:val="single"/>
        </w:rPr>
        <w:t xml:space="preserve">If a manufacturer violates this subchapter or a rule adopted under this subchapter the manufacturer is liable for a civil penalty in an amount not to exceed $10,000 for each day the violation continues.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sue to collect a civil penalty imposed under this section and may recover attorney's fees and costs if the attorney general prevails.</w:t>
      </w:r>
    </w:p>
    <w:p w:rsidR="003F3435" w:rsidRDefault="0032493E">
      <w:pPr>
        <w:spacing w:line="480" w:lineRule="auto"/>
        <w:jc w:val="center"/>
      </w:pPr>
      <w:r>
        <w:rPr>
          <w:u w:val="single"/>
        </w:rPr>
        <w:t xml:space="preserve">SUBCHAPTER D.  DRUG PRICE TRANSPARENCY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441.0151.</w:t>
      </w:r>
      <w:r>
        <w:rPr>
          <w:u w:val="single"/>
        </w:rPr>
        <w:t xml:space="preserve"> </w:t>
      </w:r>
      <w:r>
        <w:rPr>
          <w:u w:val="single"/>
        </w:rPr>
        <w:t xml:space="preserve"> </w:t>
      </w:r>
      <w:r>
        <w:rPr>
          <w:u w:val="single"/>
        </w:rPr>
        <w:t xml:space="preserve">ESTABLISHMENT.  The department shall establish the drug price transparency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441.0152.</w:t>
      </w:r>
      <w:r>
        <w:rPr>
          <w:u w:val="single"/>
        </w:rPr>
        <w:t xml:space="preserve"> </w:t>
      </w:r>
      <w:r>
        <w:rPr>
          <w:u w:val="single"/>
        </w:rPr>
        <w:t xml:space="preserve"> </w:t>
      </w:r>
      <w:r>
        <w:rPr>
          <w:u w:val="single"/>
        </w:rPr>
        <w:t xml:space="preserve">COMPOSITION.  (a)  The advisory committee consists of nine members appointed by the commissioner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academic public health researchers;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economist;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certified public accountant;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licensed physician who practices in this state;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licensed pharmacist who practices in this state;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two consumer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advisory committee member may not be affiliated with a manufacturer or have any other conflict of interest regarding advisory committee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or the commissioner's designee serves as the presiding officer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441.0153.</w:t>
      </w:r>
      <w:r>
        <w:rPr>
          <w:u w:val="single"/>
        </w:rPr>
        <w:t xml:space="preserve"> </w:t>
      </w:r>
      <w:r>
        <w:rPr>
          <w:u w:val="single"/>
        </w:rPr>
        <w:t xml:space="preserve"> </w:t>
      </w:r>
      <w:r>
        <w:rPr>
          <w:u w:val="single"/>
        </w:rPr>
        <w:t xml:space="preserve">DUTIES.  The advisory committee shall advise the department or executive commissioner, as applicable,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development of rules adopted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review of annual reports required under Section 441.0051;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preparation of a report the department is required to publish under Section 441.0202.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441.0154.</w:t>
      </w:r>
      <w:r>
        <w:rPr>
          <w:u w:val="single"/>
        </w:rPr>
        <w:t xml:space="preserve"> </w:t>
      </w:r>
      <w:r>
        <w:rPr>
          <w:u w:val="single"/>
        </w:rPr>
        <w:t xml:space="preserve"> </w:t>
      </w:r>
      <w:r>
        <w:rPr>
          <w:u w:val="single"/>
        </w:rPr>
        <w:t xml:space="preserve">ADVISORY COMMITTEE RULES.  The executive commissioner shall adopt rules necessary to implement this subchapter, including rules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times the advisory committee is required to meet each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compensation for and reimbursement for expenses incurred by advisory committee members;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terms of advisory committee members.</w:t>
      </w:r>
    </w:p>
    <w:p w:rsidR="003F3435" w:rsidRDefault="0032493E">
      <w:pPr>
        <w:spacing w:line="480" w:lineRule="auto"/>
        <w:jc w:val="center"/>
      </w:pPr>
      <w:r>
        <w:rPr>
          <w:u w:val="single"/>
        </w:rPr>
        <w:t xml:space="preserve">SUBCHAPTER E.  RULES AND DEPARTMENT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441.0201.</w:t>
      </w:r>
      <w:r>
        <w:rPr>
          <w:u w:val="single"/>
        </w:rPr>
        <w:t xml:space="preserve"> </w:t>
      </w:r>
      <w:r>
        <w:rPr>
          <w:u w:val="single"/>
        </w:rPr>
        <w:t xml:space="preserve"> </w:t>
      </w:r>
      <w:r>
        <w:rPr>
          <w:u w:val="single"/>
        </w:rPr>
        <w:t xml:space="preserve">RULES.  The executive commissioner, in consultation with the advisory committee, shall adopt rules necessary to implement this chapter.  The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public transparency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pricing of expensive drugs;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revenue realized by the manufacturers from the sale of expensive drugs;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return on public investment in the development of expensive drugs made through federal, state, or local grants or other governmental financial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additional specific information within each of the categories listed in Section 441.0052 that a manufacturer must include in the report;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uniform reporting form that a manufacturer must use to facilitate the disclosure of information required to be reported under this chapter and the department's preparation of the report required under Section 441.0202.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441.0202.</w:t>
      </w:r>
      <w:r>
        <w:rPr>
          <w:u w:val="single"/>
        </w:rPr>
        <w:t xml:space="preserve"> </w:t>
      </w:r>
      <w:r>
        <w:rPr>
          <w:u w:val="single"/>
        </w:rPr>
        <w:t xml:space="preserve"> </w:t>
      </w:r>
      <w:r>
        <w:rPr>
          <w:u w:val="single"/>
        </w:rPr>
        <w:t xml:space="preserve">DEPARTMENT REPORT.  (a)  Not later than September 30 of each year, the department shall prepare and publish on the department's Internet website a report that summarizes the reports filed by manufacturers under Subchapter B during the preceding calendar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provide a copy of the report described by Subsection (a) to the governor, lieutenant governor, speaker of the house of representatives, and each member of the legislature.</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 </w:t>
      </w:r>
      <w:r>
        <w:t xml:space="preserve"> </w:t>
      </w:r>
      <w:r>
        <w:t xml:space="preserve">A manufacturer is not required to submit an annual report under Section 441.0051, Health and Safety Code, as added by this Act, before March 31, 2021.</w:t>
      </w:r>
    </w:p>
    <w:p w:rsidR="003F3435" w:rsidRDefault="0032493E">
      <w:pPr>
        <w:spacing w:line="480" w:lineRule="auto"/>
        <w:ind w:firstLine="720"/>
        <w:jc w:val="both"/>
      </w:pPr>
      <w:r>
        <w:t xml:space="preserve">(b)</w:t>
      </w:r>
      <w:r xml:space="preserve">
        <w:t> </w:t>
      </w:r>
      <w:r xml:space="preserve">
        <w:t> </w:t>
      </w:r>
      <w:r>
        <w:t xml:space="preserve">The Department of State Health Services is not required to publish a report under Section 441.0202, Health and Safety Code, as added by this Act, before September 30,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Chapter 441,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