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86R5989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1796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annual adjustment to the basic allotment under the foundation school program to reflect inflation.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42.101, Education Code, is amended by amending Subsection (a) and adding Subsection (a-3)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adjustment under Subsection (a-3), for</w:t>
      </w:r>
      <w:r>
        <w:t xml:space="preserve"> [</w:t>
      </w:r>
      <w:r>
        <w:rPr>
          <w:strike/>
        </w:rPr>
        <w:t xml:space="preserve">For</w:t>
      </w:r>
      <w:r>
        <w:t xml:space="preserve">] each student in average daily attendance,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the lesser of $4,765 or the amount that results from the following formula:</w:t>
      </w:r>
    </w:p>
    <w:p w:rsidR="003F3435" w:rsidRDefault="0032493E">
      <w:pPr>
        <w:spacing w:line="480" w:lineRule="auto"/>
        <w:jc w:val="center"/>
      </w:pPr>
      <w:r>
        <w:t xml:space="preserve">A = $4,765 X (DCR/MCR)</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t xml:space="preserve">"DCR" is the district's compressed tax rate, which is the product of the state compression percentage, as determined under Section 42.2516, multiplied by the maintenance and operations tax rate adopted by the district for the 2005 tax year; and</w:t>
      </w:r>
    </w:p>
    <w:p w:rsidR="003F3435" w:rsidRDefault="0032493E">
      <w:pPr>
        <w:spacing w:line="480" w:lineRule="auto"/>
        <w:ind w:firstLine="720"/>
        <w:jc w:val="both"/>
      </w:pPr>
      <w:r>
        <w:t xml:space="preserve">"MCR" is the state maximum compressed tax rate, which is the product of the state compression percentage, as determined under Section 42.2516, multiplied by $1.50.</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Beginning with the 2021-2022 school year, the basic allotment provided to a district under Subsection (a) or (b) is adjusted annually to increase the allotment by the amount that results from applying the inflation rate, as determined by the comptroller on the basis of changes in the Consumer Price Index for All Urban Consumers published by the Bureau of Labor Statistics of the United States Department of Labor, to the allotment for the preceding school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December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