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86R8125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exception to prosecution for the criminal offense of theft of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31.04, Penal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It is an exception to the application of Subsection (a)(3) that the written rental agreement described by that subsection is a rental-purchase agreement.  For purposes of this subsection, "rental-purchase agreement" means an agreement under which an individual may use personal property for personal, family, or household purposes for an initial rental period and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automatically renewable with each payment after the initial rental period;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permits the individual to become the owner of the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an offense committed before, on, or after the effective date of this Act.  However, a final conviction for an offense under Section 31.04, Penal Code, that exists on the effective date of this Act remains unaffected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