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binding arbitration of certain appraisal review board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41A.05, Tax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date an appraisal district receives from a property owner a completed request for binding arbitration under this chapter and an arbitration deposit as required by Section 41A.03, the appraisal district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certify the request;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the request and deposit to the comptroller;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request the comptroller to appoint a qualified arbitrator to conduct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reject an application submitted to the comptroller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delivers written notice to the applicant of the defect in the application that would be the cause of the rejection;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cure the defect on or before the 15th day after the date the comptroller delivers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cure a defect in accordance with Subsection (c) at any time before the expiration of the period provided by that subsection, without regard to the deadline for filing the request for binding arbitration under Section 41A.03(a).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reference to the applicant includes the applicant's representative if the applicant has retained a representative as provided by Section 41A.08 for purposes of representing the applicant in an arbitration proceeding under this chapter.</w:t>
      </w:r>
    </w:p>
    <w:p w:rsidR="003F3435" w:rsidRDefault="0032493E">
      <w:pPr>
        <w:spacing w:line="480" w:lineRule="auto"/>
        <w:ind w:firstLine="720"/>
        <w:jc w:val="both"/>
      </w:pPr>
      <w:r>
        <w:t xml:space="preserve">(b)</w:t>
      </w:r>
      <w:r xml:space="preserve">
        <w:t> </w:t>
      </w:r>
      <w:r xml:space="preserve">
        <w:t> </w:t>
      </w:r>
      <w:r>
        <w:t xml:space="preserve">Section 41A.05, Tax Code, as amended by this section, applies only to a request for binding arbitration received by the comptroller of public accounts from an appraisal district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an appeal of an appraisal review board order that a property owner receives notice of on or after the effective date of this Act. 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