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request for binding arbitration of certain appraisal review board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 Tax Code, is amended to read as follows:</w:t>
      </w:r>
    </w:p>
    <w:p w:rsidR="003F3435" w:rsidRDefault="0032493E">
      <w:pPr>
        <w:spacing w:line="480" w:lineRule="auto"/>
        <w:ind w:firstLine="720"/>
        <w:jc w:val="both"/>
      </w:pPr>
      <w:r>
        <w:t xml:space="preserve">(a)</w:t>
      </w:r>
      <w:r xml:space="preserve">
        <w:t> </w:t>
      </w:r>
      <w:r xml:space="preserve">
        <w:t> </w:t>
      </w:r>
      <w:r>
        <w:t xml:space="preserve">To appeal an appraisal review board order under this chapter, a property owner must file with the appraisal district not later than the </w:t>
      </w:r>
      <w:r>
        <w:rPr>
          <w:u w:val="single"/>
        </w:rPr>
        <w:t xml:space="preserve">60th</w:t>
      </w:r>
      <w:r>
        <w:t xml:space="preserve"> [</w:t>
      </w:r>
      <w:r>
        <w:rPr>
          <w:strike/>
        </w:rPr>
        <w:t xml:space="preserve">45th</w:t>
      </w:r>
      <w:r>
        <w:t xml:space="preserve">] day after the date the property owner receives notice of the order:</w:t>
      </w:r>
    </w:p>
    <w:p w:rsidR="003F3435" w:rsidRDefault="0032493E">
      <w:pPr>
        <w:spacing w:line="480" w:lineRule="auto"/>
        <w:ind w:firstLine="1440"/>
        <w:jc w:val="both"/>
      </w:pPr>
      <w:r>
        <w:t xml:space="preserve">(1)</w:t>
      </w:r>
      <w:r xml:space="preserve">
        <w:t> </w:t>
      </w:r>
      <w:r xml:space="preserve">
        <w:t> </w:t>
      </w:r>
      <w:r>
        <w:t xml:space="preserve">a completed request for binding arbitration under this chapter in the form prescribed by Section 41A.04; and</w:t>
      </w:r>
    </w:p>
    <w:p w:rsidR="003F3435" w:rsidRDefault="0032493E">
      <w:pPr>
        <w:spacing w:line="480" w:lineRule="auto"/>
        <w:ind w:firstLine="1440"/>
        <w:jc w:val="both"/>
      </w:pPr>
      <w:r>
        <w:t xml:space="preserve">(2)</w:t>
      </w:r>
      <w:r xml:space="preserve">
        <w:t> </w:t>
      </w:r>
      <w:r xml:space="preserve">
        <w:t> </w:t>
      </w:r>
      <w:r>
        <w:t xml:space="preserve">an arbitration deposit made payable to the comptroller in the amount of:</w:t>
      </w:r>
    </w:p>
    <w:p w:rsidR="003F3435" w:rsidRDefault="0032493E">
      <w:pPr>
        <w:spacing w:line="480" w:lineRule="auto"/>
        <w:ind w:firstLine="2160"/>
        <w:jc w:val="both"/>
      </w:pPr>
      <w:r>
        <w:t xml:space="preserve">(A)</w:t>
      </w:r>
      <w:r xml:space="preserve">
        <w:t> </w:t>
      </w:r>
      <w:r xml:space="preserve">
        <w:t> </w:t>
      </w:r>
      <w:r>
        <w:t xml:space="preserve">$450,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$500,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$500,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$800,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$1,050,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$1,550,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41A.05, Tax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appraisal district receives from a property owner a completed request for binding arbitration under this chapter and an arbitration deposit as required by Section 41A.03, the appraisal district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certify the request;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the request and deposit to the comptroller;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request the comptroller to appoint a qualified arbitrator to conduct the arbitration.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reject an application submitted to the comptroller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delivers written notice to the applicant of the defect in the application that would be the cause of the rejection;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cure the defect on or before the 15th day after the date the comptroller delivers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cure a defect in accordance with Subsection (c) at any time before the expiration of the period provided by that subsection, without regard to the deadline for filing the request for binding arbitration under Section 41A.03(a).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reference to the applicant includes the applicant's representative if the applicant has retained a representative as provided by Section 41A.08 for purposes of representing the applicant in an arbitration proceeding under this chapter.</w:t>
      </w:r>
    </w:p>
    <w:p w:rsidR="003F3435" w:rsidRDefault="0032493E">
      <w:pPr>
        <w:spacing w:line="480" w:lineRule="auto"/>
        <w:ind w:firstLine="720"/>
        <w:jc w:val="both"/>
      </w:pPr>
      <w:r>
        <w:t xml:space="preserve">(b)</w:t>
      </w:r>
      <w:r xml:space="preserve">
        <w:t> </w:t>
      </w:r>
      <w:r xml:space="preserve">
        <w:t> </w:t>
      </w:r>
      <w:r>
        <w:t xml:space="preserve">Section 41A.05, Tax Code, as amended by this section, applies only to a request for binding arbitration received by the comptroller of public accounts from an appraisal district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an appeal of an appraisal review board order that a property owner receives notice of on or after the effective date of this Act. An appeal of an appraisal review board order that a property owner receives notice of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1802 was passed by the House on April 16, 2019, by the following vote:</w:t>
      </w:r>
      <w:r xml:space="preserve">
        <w:t> </w:t>
      </w:r>
      <w:r xml:space="preserve">
        <w:t> </w:t>
      </w:r>
      <w:r>
        <w:t xml:space="preserve">Yeas 137,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1802 was passed by the Senate on May 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