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86R5940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Bohac</w:t>
      </w:r>
      <w:r xml:space="preserve">
        <w:tab wTab="150" tlc="none" cTlc="0"/>
      </w:r>
      <w:r>
        <w:t xml:space="preserve">H.B.</w:t>
      </w:r>
      <w:r xml:space="preserve">
        <w:t> </w:t>
      </w:r>
      <w:r>
        <w:t xml:space="preserve">No.</w:t>
      </w:r>
      <w:r xml:space="preserve">
        <w:t> </w:t>
      </w:r>
      <w:r>
        <w:t xml:space="preserve">1802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deadline for filing a request for binding arbitration of certain appraisal review board 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41A.03(a), Tax Code, is amended to read as follows:</w:t>
      </w:r>
    </w:p>
    <w:p w:rsidR="003F3435" w:rsidRDefault="0032493E">
      <w:pPr>
        <w:spacing w:line="480" w:lineRule="auto"/>
        <w:ind w:firstLine="720"/>
        <w:jc w:val="both"/>
      </w:pPr>
      <w:r>
        <w:t xml:space="preserve">(a)</w:t>
      </w:r>
      <w:r xml:space="preserve">
        <w:t> </w:t>
      </w:r>
      <w:r xml:space="preserve">
        <w:t> </w:t>
      </w:r>
      <w:r>
        <w:t xml:space="preserve">To appeal an appraisal review board order under this chapter, a property owner must file with the appraisal district not later than the </w:t>
      </w:r>
      <w:r>
        <w:rPr>
          <w:u w:val="single"/>
        </w:rPr>
        <w:t xml:space="preserve">60th</w:t>
      </w:r>
      <w:r>
        <w:t xml:space="preserve"> [</w:t>
      </w:r>
      <w:r>
        <w:rPr>
          <w:strike/>
        </w:rPr>
        <w:t xml:space="preserve">45th</w:t>
      </w:r>
      <w:r>
        <w:t xml:space="preserve">] day after the date the property owner receives notice of the order:</w:t>
      </w:r>
    </w:p>
    <w:p w:rsidR="003F3435" w:rsidRDefault="0032493E">
      <w:pPr>
        <w:spacing w:line="480" w:lineRule="auto"/>
        <w:ind w:firstLine="1440"/>
        <w:jc w:val="both"/>
      </w:pPr>
      <w:r>
        <w:t xml:space="preserve">(1)</w:t>
      </w:r>
      <w:r xml:space="preserve">
        <w:t> </w:t>
      </w:r>
      <w:r xml:space="preserve">
        <w:t> </w:t>
      </w:r>
      <w:r>
        <w:t xml:space="preserve">a completed request for binding arbitration under this chapter in the form prescribed by Section 41A.04; and</w:t>
      </w:r>
    </w:p>
    <w:p w:rsidR="003F3435" w:rsidRDefault="0032493E">
      <w:pPr>
        <w:spacing w:line="480" w:lineRule="auto"/>
        <w:ind w:firstLine="1440"/>
        <w:jc w:val="both"/>
      </w:pPr>
      <w:r>
        <w:t xml:space="preserve">(2)</w:t>
      </w:r>
      <w:r xml:space="preserve">
        <w:t> </w:t>
      </w:r>
      <w:r xml:space="preserve">
        <w:t> </w:t>
      </w:r>
      <w:r>
        <w:t xml:space="preserve">an arbitration deposit made payable to the comptroller in the amount of:</w:t>
      </w:r>
    </w:p>
    <w:p w:rsidR="003F3435" w:rsidRDefault="0032493E">
      <w:pPr>
        <w:spacing w:line="480" w:lineRule="auto"/>
        <w:ind w:firstLine="2160"/>
        <w:jc w:val="both"/>
      </w:pPr>
      <w:r>
        <w:t xml:space="preserve">(A)</w:t>
      </w:r>
      <w:r xml:space="preserve">
        <w:t> </w:t>
      </w:r>
      <w:r xml:space="preserve">
        <w:t> </w:t>
      </w:r>
      <w:r>
        <w:t xml:space="preserve">$450, if the property qualifies as the owner's residence homestead under Section 11.13 and the appraised or market value, as applicable, of the property is $500,000 or less, as determined by the order;</w:t>
      </w:r>
    </w:p>
    <w:p w:rsidR="003F3435" w:rsidRDefault="0032493E">
      <w:pPr>
        <w:spacing w:line="480" w:lineRule="auto"/>
        <w:ind w:firstLine="2160"/>
        <w:jc w:val="both"/>
      </w:pPr>
      <w:r>
        <w:t xml:space="preserve">(B)</w:t>
      </w:r>
      <w:r xml:space="preserve">
        <w:t> </w:t>
      </w:r>
      <w:r xml:space="preserve">
        <w:t> </w:t>
      </w:r>
      <w:r>
        <w:t xml:space="preserve">$500, if the property qualifies as the owner's residence homestead under Section 11.13 and the appraised or market value, as applicable, of the property is more than $500,000, as determined by the order;</w:t>
      </w:r>
    </w:p>
    <w:p w:rsidR="003F3435" w:rsidRDefault="0032493E">
      <w:pPr>
        <w:spacing w:line="480" w:lineRule="auto"/>
        <w:ind w:firstLine="2160"/>
        <w:jc w:val="both"/>
      </w:pPr>
      <w:r>
        <w:t xml:space="preserve">(C)</w:t>
      </w:r>
      <w:r xml:space="preserve">
        <w:t> </w:t>
      </w:r>
      <w:r xml:space="preserve">
        <w:t> </w:t>
      </w:r>
      <w:r>
        <w:t xml:space="preserve">$500, if the property does not qualify as the owner's residence homestead under Section 11.13 and the appraised or market value, as applicable, of the property is $1 million or less, as determined by the order;</w:t>
      </w:r>
    </w:p>
    <w:p w:rsidR="003F3435" w:rsidRDefault="0032493E">
      <w:pPr>
        <w:spacing w:line="480" w:lineRule="auto"/>
        <w:ind w:firstLine="2160"/>
        <w:jc w:val="both"/>
      </w:pPr>
      <w:r>
        <w:t xml:space="preserve">(D)</w:t>
      </w:r>
      <w:r xml:space="preserve">
        <w:t> </w:t>
      </w:r>
      <w:r xml:space="preserve">
        <w:t> </w:t>
      </w:r>
      <w:r>
        <w:t xml:space="preserve">$800, if the property does not qualify as the owner's residence homestead under Section 11.13 and the appraised or market value, as applicable, of the property is more than $1 million but not more than $2 million, as determined by the order;</w:t>
      </w:r>
    </w:p>
    <w:p w:rsidR="003F3435" w:rsidRDefault="0032493E">
      <w:pPr>
        <w:spacing w:line="480" w:lineRule="auto"/>
        <w:ind w:firstLine="2160"/>
        <w:jc w:val="both"/>
      </w:pPr>
      <w:r>
        <w:t xml:space="preserve">(E)</w:t>
      </w:r>
      <w:r xml:space="preserve">
        <w:t> </w:t>
      </w:r>
      <w:r xml:space="preserve">
        <w:t> </w:t>
      </w:r>
      <w:r>
        <w:t xml:space="preserve">$1,050, if the property does not qualify as the owner's residence homestead under Section 11.13 and the appraised or market value, as applicable, of the property is more than $2 million but not more than $3 million, as determined by the order; or</w:t>
      </w:r>
    </w:p>
    <w:p w:rsidR="003F3435" w:rsidRDefault="0032493E">
      <w:pPr>
        <w:spacing w:line="480" w:lineRule="auto"/>
        <w:ind w:firstLine="2160"/>
        <w:jc w:val="both"/>
      </w:pPr>
      <w:r>
        <w:t xml:space="preserve">(F)</w:t>
      </w:r>
      <w:r xml:space="preserve">
        <w:t> </w:t>
      </w:r>
      <w:r xml:space="preserve">
        <w:t> </w:t>
      </w:r>
      <w:r>
        <w:t xml:space="preserve">$1,550, if the property does not qualify as the owner's residence homestead under Section 11.13 and the appraised or market value, as applicable, of the property is more than $3 million but not more than $5 million, as determined by the order.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an appeal of an appraisal review board order that a property owner receives notice of on or after the effective date of this Act. An appeal of an appraisal review board order that a property owner receives notice of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