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86R5991 LHC-F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1811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increasing the criminal penalty for certain boating while intoxicated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49.06, Penal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Except as provided by </w:t>
      </w:r>
      <w:r>
        <w:rPr>
          <w:u w:val="single"/>
        </w:rPr>
        <w:t xml:space="preserve">Subsection (c) or</w:t>
      </w:r>
      <w:r>
        <w:t xml:space="preserve"> Section 49.09, an offense under this section is a Class B misdemeanor, with a minimum term of confinement of 72 hours.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it is shown on the trial of an offense under this section that an analysis of a specimen of the person's blood, breath, or urine showed an alcohol concentration level of 0.15 or more at the time the analysis was performed, the offense is a Class A misdemeanor.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1811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