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86R3753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1815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deadline for filing an application for an allocation of the value of certain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21.09(b), Tax Code, is amended to read as follows:</w:t>
      </w:r>
    </w:p>
    <w:p w:rsidR="003F3435" w:rsidRDefault="0032493E">
      <w:pPr>
        <w:spacing w:line="480" w:lineRule="auto"/>
        <w:ind w:firstLine="720"/>
        <w:jc w:val="both"/>
      </w:pPr>
      <w:r>
        <w:t xml:space="preserve">(b)</w:t>
      </w:r>
      <w:r xml:space="preserve">
        <w:t> </w:t>
      </w:r>
      <w:r xml:space="preserve">
        <w:t> </w:t>
      </w:r>
      <w:r>
        <w:t xml:space="preserve">A person claiming an allocation must apply for the allocation each year the person claims the allocation. </w:t>
      </w:r>
      <w:r>
        <w:t xml:space="preserve"> </w:t>
      </w:r>
      <w:r>
        <w:t xml:space="preserve">A person claiming an allocation must file a completed allocation application form before </w:t>
      </w:r>
      <w:r>
        <w:rPr>
          <w:u w:val="single"/>
        </w:rPr>
        <w:t xml:space="preserve">May</w:t>
      </w:r>
      <w:r>
        <w:t xml:space="preserve"> [</w:t>
      </w:r>
      <w:r>
        <w:rPr>
          <w:strike/>
        </w:rPr>
        <w:t xml:space="preserve">April</w:t>
      </w:r>
      <w:r>
        <w:t xml:space="preserve">] 1 and must provide the information required by the form. </w:t>
      </w:r>
      <w:r>
        <w:t xml:space="preserve"> </w:t>
      </w:r>
      <w:r>
        <w:t xml:space="preserve">If the property was not on the appraisal roll in the preceding year, the deadline for filing the allocation application form is extended to the 30th day after the date of receipt of the notice of appraised value required by Section 25.19(a)(3). </w:t>
      </w:r>
      <w:r>
        <w:t xml:space="preserve"> </w:t>
      </w:r>
      <w:r>
        <w:t xml:space="preserve">For good cause shown, the chief appraiser shall extend the deadline for filing an allocation application form by written order for a period not to exceed 30 days.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allocation of the value of property for ad valorem tax purposes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