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86R10341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1818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confirmation of a voter's residence by a voter registrar.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the registrar </w:t>
      </w:r>
      <w:r>
        <w:rPr>
          <w:u w:val="single"/>
        </w:rPr>
        <w:t xml:space="preserve">receives notice under Section 13.146, 14.023, 16.0921, or 18.0681(d) or otherwise</w:t>
      </w:r>
      <w:r>
        <w:t xml:space="preserve"> has reason to believe that a voter's current residence is different from that indicated on the registration records, the registrar shall deliver to the voter a written confirmation notice requesting confirmation of the voter's current residence.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18.0681(d),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each county in which the voter is registered to vote. 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may merge the records following a determination that each record belongs to the same voter using the procedure for the correction of registration records under Section 15.022;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w:t>
      </w:r>
      <w:r>
        <w:rPr>
          <w:u w:val="single"/>
        </w:rPr>
        <w:t xml:space="preserve">shall</w:t>
      </w:r>
      <w:r>
        <w:t xml:space="preserve"> [</w:t>
      </w:r>
      <w:r>
        <w:rPr>
          <w:strike/>
        </w:rPr>
        <w:t xml:space="preserve">may</w:t>
      </w:r>
      <w:r>
        <w:t xml:space="preserve">] deliver a written confirmation notice in accordance with Section 15.051.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