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86R7396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H.B.</w:t>
      </w:r>
      <w:r xml:space="preserve">
        <w:t> </w:t>
      </w:r>
      <w:r>
        <w:t xml:space="preserve">No.</w:t>
      </w:r>
      <w:r xml:space="preserve">
        <w:t> </w:t>
      </w:r>
      <w:r>
        <w:t xml:space="preserve">1821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Loop 111 in Travis County as the Richard Overton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RICHARD OVERTON MEMORIAL HIGHWAY.  (a) </w:t>
      </w:r>
      <w:r>
        <w:rPr>
          <w:u w:val="single"/>
        </w:rPr>
        <w:t xml:space="preserve"> </w:t>
      </w:r>
      <w:r>
        <w:rPr>
          <w:u w:val="single"/>
        </w:rPr>
        <w:t xml:space="preserve">The portion of State Loop 111 in Travis County between its northern intersection with Levander Loop and its intersection with Parkwood Road is designated as the Richard Overton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Richard Overton Memorial Highway and any other appropriate information;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appropriate sites along the loop.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