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86R2471 KJE-F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Cortez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1823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reduction of school district property taxes as a result of the school facilities allotment.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46.009,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46.009.</w:t>
      </w:r>
      <w:r xml:space="preserve">
        <w:t> </w:t>
      </w:r>
      <w:r xml:space="preserve">
        <w:t> </w:t>
      </w:r>
      <w:r>
        <w:rPr>
          <w:u w:val="single"/>
        </w:rPr>
        <w:t xml:space="preserve">REDUCTION OF SCHOOL DISTRICT PROPERTY TAXES AS RESULT</w:t>
      </w:r>
      <w:r>
        <w:t xml:space="preserve"> [</w:t>
      </w:r>
      <w:r>
        <w:rPr>
          <w:strike/>
        </w:rPr>
        <w:t xml:space="preserve">PAYMENT</w:t>
      </w:r>
      <w:r>
        <w:t xml:space="preserve">] OF SCHOOL </w:t>
      </w:r>
      <w:r>
        <w:rPr>
          <w:u w:val="single"/>
        </w:rPr>
        <w:t xml:space="preserve">FACILITY ALLOTMENT</w:t>
      </w:r>
      <w:r>
        <w:t xml:space="preserve"> [</w:t>
      </w:r>
      <w:r>
        <w:rPr>
          <w:strike/>
        </w:rPr>
        <w:t xml:space="preserve">FACILITIES ALLOTMENTS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