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86R735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Dallas, Oliverson, Lambert,</w:t>
      </w:r>
      <w:r xml:space="preserve">
        <w:tab wTab="150" tlc="none" cTlc="0"/>
      </w:r>
      <w:r>
        <w:t xml:space="preserve">H.B.</w:t>
      </w:r>
      <w:r xml:space="preserve">
        <w:t> </w:t>
      </w:r>
      <w:r>
        <w:t xml:space="preserve">No.</w:t>
      </w:r>
      <w:r xml:space="preserve">
        <w:t> </w:t>
      </w:r>
      <w:r>
        <w:t xml:space="preserve">1832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practices relating to health benefit plan coverage for emergency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requirements under Subsection (a), a contract described by that subsection must require the managed care organization to comply with Section 541.062,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541, Insurance Code, is amended by adding Section 541.062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541.062.</w:t>
      </w:r>
      <w:r>
        <w:rPr>
          <w:u w:val="single"/>
        </w:rPr>
        <w:t xml:space="preserve"> </w:t>
      </w:r>
      <w:r>
        <w:rPr>
          <w:u w:val="single"/>
        </w:rPr>
        <w:t xml:space="preserve"> </w:t>
      </w:r>
      <w:r>
        <w:rPr>
          <w:u w:val="single"/>
        </w:rPr>
        <w:t xml:space="preserve">EMERGENCY CARE.  (a) In this section, "emergency care" and "utilization review"</w:t>
      </w:r>
      <w:r>
        <w:rPr>
          <w:u w:val="single"/>
        </w:rPr>
        <w:t xml:space="preserve"> </w:t>
      </w:r>
      <w:r>
        <w:rPr>
          <w:u w:val="single"/>
        </w:rPr>
        <w:t xml:space="preserve">have the meanings assigned by Section 4201.002.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unfair method of competition or an unfair or deceptive act or practice in the business of insurance to make health benefit plan coverage for an emergency care claim dependent on a utilization review determination that the patient's medical condition required emergency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541.062, Insurance Code, as added by this Act, applies only to a health benefit plan delivered, issued for delivery, or renewed on or after January 1, 2020. A health benefit plan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