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86R6883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H.B.</w:t>
      </w:r>
      <w:r xml:space="preserve">
        <w:t> </w:t>
      </w:r>
      <w:r>
        <w:t xml:space="preserve">No.</w:t>
      </w:r>
      <w:r xml:space="preserve">
        <w:t> </w:t>
      </w:r>
      <w:r>
        <w:t xml:space="preserve">1836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preservation, maintenance, and restoration of the Alamo Cenotaph; granting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31, Natural Resources Code, is amended by adding Section 31.4515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31.4515.</w:t>
      </w:r>
      <w:r>
        <w:rPr>
          <w:u w:val="single"/>
        </w:rPr>
        <w:t xml:space="preserve"> </w:t>
      </w:r>
      <w:r>
        <w:rPr>
          <w:u w:val="single"/>
        </w:rPr>
        <w:t xml:space="preserve"> </w:t>
      </w:r>
      <w:r>
        <w:rPr>
          <w:u w:val="single"/>
        </w:rPr>
        <w:t xml:space="preserve">PRESERVATION, MAINTENANCE, AND RESTORATION OF ALAMO CENOTAPH.  (a)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part of the Texas Centennial celebration, the 44th Legislature: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appropriated money to create and conduct celebrations commemorating the heroic period of early Texas history and celebrating a century of independence and progress for Texas as a republic and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created a Commission of Control for Texas Centennial celebrations to approve allocations of state appropriated money and to apply for federal money for the centennial celebrations to be spent under the direction and control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from federal money granted to the state, the Commission of Control commissioned construction of the Alamo Cenotaph for the benefit of the state and the public to honor heroes of the Alamo and other patriotic Texans;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completion of the Alamo Cenotaph and its placement on the north plot of the Alamo Plaza, title to the cenotaph passed to the City of San Antonio conditioned on the city using the cenotaph as a memorial in honor of the heroes of the Alamo and only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office has the power of eminent domain to acquire in the manner provided by Chapter 21, Property Code, any property necessary to preserve, maintain, and restore the Alamo Cenotaph and to carry out the purposes of this section, including the acquisition of the cenotaph and the land immediately underneath and adjacent to the cenotaph.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(e), the land office is responsible for the preservation, maintenance, and restoration of the Alamo Cenotaph and has jurisdiction over the land immediately underneath and adjacent to the cenotaph.  The land office shall determine and officially designate a reasonable amount of land as the land immediately underneath and adjacent to the cenotaph for purposes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power or duty related to the Alamo Cenotaph formerly vested in another state agency or local governmental entity, including the City of San Antonio, is vested solely in the land office in accordance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lieutenant governor, speaker of the house of representatives, and land commissioner must unanimously approve all major projects related to the preservation, maintenance, and restoration of the Alamo Cenotaph, including any project that requires movement of the cenotaph from its original location. </w:t>
      </w:r>
      <w:r>
        <w:rPr>
          <w:u w:val="single"/>
        </w:rPr>
        <w:t xml:space="preserve"> </w:t>
      </w:r>
      <w:r>
        <w:rPr>
          <w:u w:val="single"/>
        </w:rPr>
        <w:t xml:space="preserve">The cenotaph may not be moved to a location outside of the area that comprised the original Alamo Plaza.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local governmental entity may not exercise any control over the Alamo Cenotaph and the land immediately underneath and adjacent to the cenotaph or move the cenotaph from its original location in the Alamo Plaza.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land office shall allow the descendants of the heroes of the Alamo access to the Alamo Cenotaph each year on March 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writ of mandamus and any other legal and equitable remedy is available to a party in interest to require the land office, a local governmental entity, and any other party to comply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