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86R7489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1839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board may allocate housing tax credits to more than one development in a single community, as defined by department rule, in the same calendar year only if the developments are or will be located more than two linear miles apart </w:t>
      </w:r>
      <w:r>
        <w:rPr>
          <w:u w:val="single"/>
        </w:rPr>
        <w:t xml:space="preserve">or the governing body of the municipality containing the development or, if located outside a municipality, the county containing the development has by vote specifically authorized the allocation of housing tax credits for the development</w:t>
      </w:r>
      <w:r>
        <w:t xml:space="preserve">.  This subsection applies only to communities contained within counties with populations exceeding one million.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