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86R7450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1841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a housing unit that the owner or a predecessor of the owner acquired from a community land trust.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23.21(d), Tax Code, is amended to read as follows: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or restrictive covenant applicable to a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or may be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