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86R4801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limit on appraised value of a residence homestead for ad valorem tax purposes to an improvement that is a replacement structure for a structure that was rendered uninhabitable or unusable by a casualty or by wind or water damage.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23.23(g),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 this subsection, "disaster recovery program" means the disaster recovery program administered by the General Land Office that is funded with community development block grant disaster recovery money authorized by </w:t>
      </w:r>
      <w:r>
        <w:rPr>
          <w:u w:val="single"/>
        </w:rPr>
        <w:t xml:space="preserve">federal law</w:t>
      </w:r>
      <w:r>
        <w:t xml:space="preserve"> </w:t>
      </w:r>
      <w:r>
        <w:t xml:space="preserve">[</w:t>
      </w:r>
      <w:r>
        <w:rPr>
          <w:strike/>
        </w:rPr>
        <w:t xml:space="preserve">the Consolidated Security, Disaster Assistance, and Continuing Appropriations Act, 2009 (Pub. L. No.</w:t>
      </w:r>
      <w:r xml:space="preserve">
        <w:rPr>
          <w:strike/>
        </w:rPr>
        <w:t> </w:t>
      </w:r>
      <w:r>
        <w:rPr>
          <w:strike/>
        </w:rPr>
        <w:t xml:space="preserve">110-329) and the Consolidated and Further Continuing Appropriations Act, 2012 (Pub. L. No.</w:t>
      </w:r>
      <w:r xml:space="preserve">
        <w:rPr>
          <w:strike/>
        </w:rPr>
        <w:t> </w:t>
      </w:r>
      <w:r>
        <w:rPr>
          <w:strike/>
        </w:rPr>
        <w:t xml:space="preserve">112-55)</w:t>
      </w:r>
      <w:r>
        <w:t xml:space="preserve">]. Notwithstanding Subsection (f)(2), and only to the extent necessary to satisfy the requirements of the disaster recovery program, a replacement structure described by that subdivision is not considered to be a new improvement if to satisfy the requirements of the disaster recovery program it was necessary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square footage of the replacement structure exceed that of the replaced structure as that structure existed before the casualty or damage occurred;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exterior of the replacement structure be of higher quality construction and composition than that of the replaced structure.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the appraisal of a residence homestead for ad valorem tax purposes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