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1847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limits on political contributions to certain candidates and officeholders.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253, Election Code, is amended by adding Section 253.044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253.044.</w:t>
      </w:r>
      <w:r>
        <w:rPr>
          <w:u w:val="single"/>
        </w:rPr>
        <w:t xml:space="preserve"> </w:t>
      </w:r>
      <w:r>
        <w:rPr>
          <w:u w:val="single"/>
        </w:rPr>
        <w:t xml:space="preserve"> </w:t>
      </w:r>
      <w:r>
        <w:rPr>
          <w:u w:val="single"/>
        </w:rPr>
        <w:t xml:space="preserve">LIMITATIONS ON CONTRIBUTIONS.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"Committee"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general-purpose committee;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specific-purpose committee that supports a candidate or assists an officeholder;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political committee;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committee that accepts politi</w:t>
      </w:r>
      <w:r>
        <w:rPr>
          <w:u w:val="single"/>
        </w:rPr>
        <w:t xml:space="preserve">cal contributions, if a candidate or officeholder has significant influence over the actions or decisions of the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"Significant influence" means a level of involvement in a committee or a noncommercial entity by a candidate or officeholder, or an agent of a candidate or officeholder, and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use of the candidate's or officeholder's name or office in the name of the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candidate or officeholder: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attending meetings of the entity that are not open to the public;</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sitting as a member of the committee or on the entity's board of directors;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participating in any joint acts with the entity;</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directing, approving, or disapproving any expenditure made by the entity;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participating substantially in the entity's fund-raising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candidate, officeholder, or committee may not make political contributions to any officeholder, candidate, or committee that supports the candidate or officeholder that in the aggregate per calendar year exceed $5,000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candidate for or officeholder who holds a statewide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candidate for, or member of,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contribution limit described by Subsection (b) applies to any expenditures by a person, committee, or other entity in the same manner as the limit applies to a candidate or officeholder if the expenditure by the person, committee, or entity is coordinated with a candidate or officeholder.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make a determination as to whether a person, committee, or other entity coordinated with a candidate or officeholder for the purposes of this section. </w:t>
      </w:r>
      <w:r>
        <w:rPr>
          <w:u w:val="single"/>
        </w:rPr>
        <w:t xml:space="preserve"> </w:t>
      </w:r>
      <w:r>
        <w:rPr>
          <w:u w:val="single"/>
        </w:rPr>
        <w:t xml:space="preserve">Coordination with a candidate or officeholder shall be presumed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candidate or officeholder engages in fund-raising for the person or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candidate or officeholder has family members or high-level staff who are employed by the person, committee, or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candidate or officeholder provided campaign information to the person, committee, or entity, and the person, committee, or entity made expenditures based on that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candidate or officeholder and the person, committee, or entity employ the same consultants;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 committee, or entity republishes or redistributes the candidate's or officeholder's campaign communications.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political contribution or expenditure made on or after the effective date of this Act. </w:t>
      </w:r>
      <w:r>
        <w:t xml:space="preserve"> </w:t>
      </w:r>
      <w:r>
        <w:t xml:space="preserve">A political contribution or expenditure made before the effective date of this Act is governed by the law in effect at the time the contribution or expenditure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