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86R8009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1859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landlord's obligation to rekey a security device for a dwelling.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92.156(a),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(e), a security device operated by a key, card, or combination shall be rekeyed by the landlord at the landlord's expense </w:t>
      </w:r>
      <w:r>
        <w:rPr>
          <w:u w:val="single"/>
        </w:rPr>
        <w:t xml:space="preserve">before</w:t>
      </w:r>
      <w:r>
        <w:t xml:space="preserve"> [</w:t>
      </w:r>
      <w:r>
        <w:rPr>
          <w:strike/>
        </w:rPr>
        <w:t xml:space="preserve">not later than the seventh day after</w:t>
      </w:r>
      <w:r>
        <w:t xml:space="preserve">] each tenant turnover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