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et al.</w:t>
      </w:r>
      <w:r>
        <w:t xml:space="preserve"> (Senate Sponsor</w:t>
      </w:r>
      <w:r xml:space="preserve">
        <w:t> </w:t>
      </w:r>
      <w:r>
        <w:t xml:space="preserve">-</w:t>
      </w:r>
      <w:r xml:space="preserve">
        <w:t> </w:t>
      </w:r>
      <w:r>
        <w:t xml:space="preserve">Nelson)</w:t>
      </w:r>
      <w:r xml:space="preserve">
        <w:tab wTab="150" tlc="none" cTlc="0"/>
      </w:r>
      <w:r>
        <w:t xml:space="preserve">H.B.</w:t>
      </w:r>
      <w:r xml:space="preserve">
        <w:t> </w:t>
      </w:r>
      <w:r>
        <w:t xml:space="preserve">No.</w:t>
      </w:r>
      <w:r xml:space="preserve">
        <w:t> </w:t>
      </w:r>
      <w:r>
        <w:t xml:space="preserve">1865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2019; May</w:t>
      </w:r>
      <w:r xml:space="preserve">
        <w:t> </w:t>
      </w:r>
      <w:r>
        <w:t xml:space="preserve">3,</w:t>
      </w:r>
      <w:r xml:space="preserve">
        <w:t> </w:t>
      </w:r>
      <w:r>
        <w:t xml:space="preserve">2019, read first time and referred to Committee on Business &amp; Commerce; May</w:t>
      </w:r>
      <w:r xml:space="preserve">
        <w:t> </w:t>
      </w:r>
      <w:r>
        <w:t xml:space="preserve">20,</w:t>
      </w:r>
      <w:r xml:space="preserve">
        <w:t> </w:t>
      </w:r>
      <w:r>
        <w:t xml:space="preserve">2019, reported favorably by the following vote:</w:t>
      </w:r>
      <w:r>
        <w:t xml:space="preserve"> </w:t>
      </w:r>
      <w:r>
        <w:t xml:space="preserve"> </w:t>
      </w:r>
      <w:r>
        <w:t xml:space="preserve">Yeas 8,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licensing and regulation of massage therapy; requiring a student permit;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w:t>
      </w:r>
      <w:r>
        <w:t xml:space="preserve"> </w:t>
      </w:r>
      <w:r>
        <w:t xml:space="preserve">[</w:t>
      </w:r>
      <w:r>
        <w:rPr>
          <w:strike/>
        </w:rPr>
        <w:t xml:space="preserve">(a)</w:t>
      </w:r>
      <w:r>
        <w:t xml:space="preserve">]  A person is not eligible for a license as a massage establishment, massage school, massage therapist, or massage therapy instructor if the person is an individual and has been convicted of, entered a plea of nolo contendere or guilty to, or received deferred adjudication for an offense under Chapter 20A, Penal Code, or Subchapter A, Chapter 43, Penal Code, or another sexual offense.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person convicted of a violation of this chapter is ineligible for a license as a massage establishment, massage school, massage therapist, or massage therapy instructor until the fifth anniversary of the date of the conviction.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455.1525, Occupations Code, is amended to read as follows:</w:t>
      </w:r>
    </w:p>
    <w:p w:rsidR="003F3435" w:rsidRDefault="0032493E">
      <w:pPr>
        <w:spacing w:line="480" w:lineRule="auto"/>
        <w:ind w:firstLine="720"/>
        <w:jc w:val="both"/>
      </w:pPr>
      <w:r>
        <w:t xml:space="preserve">Sec. 455.1525.</w:t>
      </w:r>
      <w:r xml:space="preserve">
        <w:t> </w:t>
      </w:r>
      <w:r xml:space="preserve">
        <w:t> </w:t>
      </w:r>
      <w:r>
        <w:t xml:space="preserve">CRIMINAL </w:t>
      </w:r>
      <w:r>
        <w:rPr>
          <w:u w:val="single"/>
        </w:rPr>
        <w:t xml:space="preserve">HISTORY RECORD INFORMATION REQUIREMENT FOR LICENSE ISSUANCE</w:t>
      </w:r>
      <w:r>
        <w:t xml:space="preserve"> </w:t>
      </w:r>
      <w:r>
        <w:t xml:space="preserve">[</w:t>
      </w:r>
      <w:r>
        <w:rPr>
          <w:strike/>
        </w:rPr>
        <w:t xml:space="preserve">BACKGROUND CHECKS</w:t>
      </w:r>
      <w:r>
        <w:t xml:space="preserve">].  </w:t>
      </w:r>
      <w:r>
        <w:rPr>
          <w:u w:val="single"/>
        </w:rPr>
        <w:t xml:space="preserve">(a)</w:t>
      </w:r>
      <w:r>
        <w:rPr>
          <w:u w:val="single"/>
        </w:rPr>
        <w:t xml:space="preserve"> </w:t>
      </w:r>
      <w:r>
        <w:rPr>
          <w:u w:val="single"/>
        </w:rPr>
        <w:t xml:space="preserve"> </w:t>
      </w:r>
      <w:r>
        <w:rPr>
          <w:u w:val="single"/>
        </w:rP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r>
        <w:t xml:space="preserve"> </w:t>
      </w:r>
      <w:r>
        <w:t xml:space="preserve"> </w:t>
      </w:r>
      <w:r>
        <w:t xml:space="preserve">[</w:t>
      </w:r>
      <w:r>
        <w:rPr>
          <w:strike/>
        </w:rPr>
        <w:t xml:space="preserve">On receipt of an application for a license under this chapter, the department shall conduct a criminal background check on the applicant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if the applicant for a license is an entity, the applicant must submit fingerprints as required by Subsection (a) for each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or constructively holds, including as the beneficiary of a trust: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 percent of the entity's outstanding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$25,000 of the fair market value of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controlling interest in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direct or indirect participating interest through shares, stock, or otherwise, regardless of whether voting rights are included, of more than 10 percent of the profits, proceeds, or capital gains of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member of the board of directors or other governing body of the entity;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officer of the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general manager of the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455.160(h), Occupations Code, is amended to read as follows:</w:t>
      </w:r>
    </w:p>
    <w:p w:rsidR="003F3435" w:rsidRDefault="0032493E">
      <w:pPr>
        <w:spacing w:line="480" w:lineRule="auto"/>
        <w:ind w:firstLine="720"/>
        <w:jc w:val="both"/>
      </w:pPr>
      <w:r>
        <w:t xml:space="preserve">(h)</w:t>
      </w:r>
      <w:r xml:space="preserve">
        <w:t> </w:t>
      </w:r>
      <w:r xml:space="preserve">
        <w:t> </w:t>
      </w:r>
      <w:r>
        <w:t xml:space="preserve">On receipt of a request for a renewal of a license issued under this chapter, the department </w:t>
      </w:r>
      <w:r>
        <w:rPr>
          <w:u w:val="single"/>
        </w:rPr>
        <w:t xml:space="preserve">shall</w:t>
      </w:r>
      <w:r>
        <w:t xml:space="preserve"> [</w:t>
      </w:r>
      <w:r>
        <w:rPr>
          <w:strike/>
        </w:rPr>
        <w:t xml:space="preserve">may</w:t>
      </w:r>
      <w:r>
        <w:t xml:space="preserve">] conduct a criminal background check under Section 455.1525.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455, Occupations Code, is amended by adding Section 455.161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455.161.</w:t>
      </w:r>
      <w:r>
        <w:rPr>
          <w:u w:val="single"/>
        </w:rPr>
        <w:t xml:space="preserve"> </w:t>
      </w:r>
      <w:r>
        <w:rPr>
          <w:u w:val="single"/>
        </w:rPr>
        <w:t xml:space="preserve"> </w:t>
      </w:r>
      <w:r>
        <w:rPr>
          <w:u w:val="single"/>
        </w:rPr>
        <w:t xml:space="preserve">STUDENT PERMIT; ELIGIBILITY.  (a)  The department shall require a student enrolled in a massage school in this state to hold a permit stating the student's name and the name of the school. </w:t>
      </w:r>
      <w:r>
        <w:rPr>
          <w:u w:val="single"/>
        </w:rPr>
        <w:t xml:space="preserve"> </w:t>
      </w:r>
      <w:r>
        <w:rPr>
          <w:u w:val="single"/>
        </w:rPr>
        <w:t xml:space="preserve">The permit must be displayed in a reasonable manner at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student permit described by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enrollment application to the department in a form and manner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other requirements specified by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455, Occupations Code, is amended by adding Section 455.2035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455.2035.</w:t>
      </w:r>
      <w:r>
        <w:rPr>
          <w:u w:val="single"/>
        </w:rPr>
        <w:t xml:space="preserve"> </w:t>
      </w:r>
      <w:r>
        <w:rPr>
          <w:u w:val="single"/>
        </w:rPr>
        <w:t xml:space="preserve"> </w:t>
      </w:r>
      <w:r>
        <w:rPr>
          <w:u w:val="single"/>
        </w:rPr>
        <w:t xml:space="preserve">REPORTS TO DEPARTMENT.  (a)  A massage school shall maintain a monthly progress report regarding each student attending the school.</w:t>
      </w:r>
      <w:r>
        <w:rPr>
          <w:u w:val="single"/>
        </w:rPr>
        <w:t xml:space="preserve"> </w:t>
      </w:r>
      <w:r>
        <w:rPr>
          <w:u w:val="single"/>
        </w:rPr>
        <w:t xml:space="preserve"> </w:t>
      </w:r>
      <w:r>
        <w:rPr>
          <w:u w:val="single"/>
        </w:rPr>
        <w:t xml:space="preserve">The report must certify the daily attendance record of each student and the number of credit hours earned by each student during the previous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455.158, Occupations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March 1, 2020, the Texas Commission of Licensing and Regulation shall adopt rules necessary to implement the changes in law made by this Act to Chapter 455,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Section 455.1525, Occupations Code, as amended by this Act, applies only to an application for a license submitted on or after the effective date of this Act.  An application for a license submitted before that date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September 1, 2021, the Texas Department of Licensing and Regulation shall obtain criminal history record information on each person who, on the effective date of this Act, holds a license issued under Chapter 455, Occupations Code, and did not undergo a criminal history record information check based on the license holder's fingerprints on initial application for the license.  The department may suspend the license of a license holder who does not provide the criminal history record information as required by the department and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455.160(h), Occupations Code, as amended by this Act, applies only to an application for the renewal of a license submitted on or after the effective date of this Act. </w:t>
      </w:r>
      <w:r>
        <w:t xml:space="preserve"> </w:t>
      </w:r>
      <w:r>
        <w:t xml:space="preserve">An application submitted before that date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In this section, "massage school"</w:t>
      </w:r>
      <w:r>
        <w:t xml:space="preserve"> </w:t>
      </w:r>
      <w:r>
        <w:t xml:space="preserve">has the meaning assigned by Section 455.001, Occupations Code.</w:t>
      </w:r>
    </w:p>
    <w:p w:rsidR="003F3435" w:rsidRDefault="0032493E">
      <w:pPr>
        <w:spacing w:line="480" w:lineRule="auto"/>
        <w:ind w:firstLine="720"/>
        <w:jc w:val="both"/>
      </w:pPr>
      <w:r>
        <w:t xml:space="preserve">(b)</w:t>
      </w:r>
      <w:r xml:space="preserve">
        <w:t> </w:t>
      </w:r>
      <w:r xml:space="preserve">
        <w:t> </w:t>
      </w:r>
      <w:r>
        <w:t xml:space="preserve">Section 455.161, Occupations Code, as added by this Act, applies to a student who is enrolled in a massage school on or after June 1, 2020.</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Except as provided by Subsection (b) of this section, this Act takes effect September 1, 2019.</w:t>
      </w:r>
    </w:p>
    <w:p w:rsidR="003F3435" w:rsidRDefault="0032493E">
      <w:pPr>
        <w:spacing w:line="480" w:lineRule="auto"/>
        <w:ind w:firstLine="720"/>
        <w:jc w:val="both"/>
      </w:pPr>
      <w:r>
        <w:t xml:space="preserve">(b)</w:t>
      </w:r>
      <w:r xml:space="preserve">
        <w:t> </w:t>
      </w:r>
      <w:r xml:space="preserve">
        <w:t> </w:t>
      </w:r>
      <w:r>
        <w:t xml:space="preserve">Section 455.2035, Occupations Code, as added by this Act, takes effect July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