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by the Texas Division of Emergency Management regarding building trade services following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REPORT ON  BUILDING TRADE SERVICES FOLLOWING DISASTERS.  (a) Not later than November 1, 2020, the division shall submit a report to members of the legislature on improving the oversight, accountability, and availability of building trade services following disasters.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and economic impact of tradespeople in communities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strategies for using a workforce that has been trained in a United States Department of Labor Industry-Recognized Apprenticeship Program or Registered Apprenticeship Program to increase the availability of tradespeople, including plumbers and electricians,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approaches to increase prosecutions of alleged fraud relating to building trade services offered following a disaster, including wage theft and worker misclassification;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methods to encourage performance bond requirements in contracts for building trade services to be performed following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appropriate state entities, including the Texas A&amp;M AgriLife Extension Service and Texas Department of Licensing and Regulation, local governments, trade associations, United States Department of Labor Registered Apprenticeship Programs, and law enforcement groups in preparing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described by Subsection (a) must include the methodology of the contents of the report, including the type and nature of information provided by the entities described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