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86R9386 ATP-F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1886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on the Internet of personal financial statements filed by public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572.032(a) and (c), Government Code, are amended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Internet website</w:t>
      </w:r>
      <w:r>
        <w:t xml:space="preserve">.</w:t>
      </w:r>
    </w:p>
    <w:p w:rsidR="003F3435" w:rsidRDefault="0032493E">
      <w:pPr>
        <w:spacing w:line="480" w:lineRule="auto"/>
        <w:ind w:firstLine="720"/>
        <w:jc w:val="both"/>
      </w:pPr>
      <w:r>
        <w:t xml:space="preserve">(c)</w:t>
      </w:r>
      <w:r xml:space="preserve">
        <w:t> </w:t>
      </w:r>
      <w:r xml:space="preserve">
        <w:t> </w:t>
      </w:r>
      <w:r>
        <w:t xml:space="preserve">After the second anniversary of the date the individual ceases to be a state officer, the commission may and on notification from the former state officer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destroy each financial statement filed by the state officer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remove each financial statement filed by the state officer from the commission's Internet website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Texas Ethics Commission shall make the financial statements filed under Subchapter B, Chapter 572, Government Code, available on the commission's Internet website, as provided by the changes in law made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