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and reporting of investment practices and performance of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public retirement system, the board shall post on the board's Internet website, or on a publicly available website that is linked to the board's website, the most recent data from reports received under Sections 802.101, 802.103, 802.104, 802.105, 802.108, </w:t>
      </w:r>
      <w:r>
        <w:rPr>
          <w:u w:val="single"/>
        </w:rPr>
        <w:t xml:space="preserve">802.109,</w:t>
      </w:r>
      <w:r>
        <w:t xml:space="preserve"> 802.2015, and 802.2016.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802.103(a),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governing body of a public retirement system shall publish an annual financial report showing the financial condition of the system as of the last day of the fiscal year covered in the report.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financial statements and schedules examined in the most recent audit performed as required by Section 802.102</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include</w:t>
      </w:r>
      <w:r>
        <w:t xml:space="preserve">] a statement of opinion by the certified public accountant as to whether or not the financial statements and schedules are presented fairly and in accordance with generally accepted accounting principles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listing, by asset class, of all direct and indirect commissions and fees paid by the retirement system during the system's previous fiscal year for the sale, purchase, or management of system assets;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of investment managers engaged by the retirement system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802, Government Code, is amended by adding Section 802.109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802.109.</w:t>
      </w:r>
      <w:r>
        <w:rPr>
          <w:u w:val="single"/>
        </w:rPr>
        <w:t xml:space="preserve"> </w:t>
      </w:r>
      <w:r>
        <w:rPr>
          <w:u w:val="single"/>
        </w:rPr>
        <w:t xml:space="preserve"> </w:t>
      </w:r>
      <w:r>
        <w:rPr>
          <w:u w:val="single"/>
        </w:rPr>
        <w:t xml:space="preserve">INVESTMENT PRACTICES AND PERFORMANCE REPORTS.  (a) </w:t>
      </w:r>
      <w:r>
        <w:rPr>
          <w:u w:val="single"/>
        </w:rPr>
        <w:t xml:space="preserve"> </w:t>
      </w:r>
      <w:r>
        <w:rPr>
          <w:u w:val="single"/>
        </w:rPr>
        <w:t xml:space="preserve">Except as provided by Subsection (d),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w:t>
      </w:r>
      <w:r>
        <w:rPr>
          <w:u w:val="single"/>
        </w:rPr>
        <w:t xml:space="preserve"> </w:t>
      </w:r>
      <w:r>
        <w:rPr>
          <w:u w:val="single"/>
        </w:rPr>
        <w:t xml:space="preserve">Each evaluation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review of the retirement system's investment asset allocation,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determining target allocations;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expected risk and assumed rate of return, categorized by asset class;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appropriateness of selection and valuation methodologies of alternative and illiquid assets;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future cash flow and liquidity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review of the appropriateness of investment fees and commissions paid by the retirement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review of the retirement system's governance processes related to investment activities, including investment decision-making processes, delegation of investment authority, and board investment expertise and education;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review of the retirement system's investment manager selection and monitoring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may determine additional specific areas to be evaluated under Subsection (a) and may select particular asset classes on which to focus, but the first evaluation must be a comprehensive analysis of the retirement system's investment program that covers all asset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retirement system shall conduct the evaluation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every three years, if the retirement system has total assets the book value of which, as of the last day of the last fiscal year considered in an evaluation under this section, was at least $100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once every six years, if the retirement system has total assets the book value of which, as of the last day of the last fiscal year considered in an evaluation under this section, was at least $30 million and less than $100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retirement system is not required to conduct the evaluation described by Subsection (a) if the retirement system has total assets the book value of which, as of the last day of the preceding fiscal year, was less than $30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of an evaluation under this section must be filed with the governing body of the public retirement system not later than December 1 of each year in which the system is evaluated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31st day after the date the governing body of a public retirement system receives a report of an evaluation under this section, the governing body shall submit the report to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public retirement system shall pay the costs of each evaluation of the system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February 1 of each year, the board shall submit an investment performance report to the governor, the lieutenant governor, the speaker of the house of representatives, and the legislative committees having principal jurisdiction over legislation governing public retirement systems.  The report must compile and summarize the information received under this section by the board during the preceding calendar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report of an evaluation by the Teacher Retirement System of Texas and an investment report that includes the Teacher Retirement System of Texas under this section satisfies the requirements of Section 825.512.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802.109(c), Government Code, as added by this Act, a report of the first evaluation of a public retirement system, as required by Section 802.109, Government Code, as added by this Act, must be filed with the governing body of the system not later than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