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86R19583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1891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1891:</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assessment requirements of the Texas Success Initiative for students who achieve a certain score on a high school equivalency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on a high school equivalency examination administered under Section 7.111 is exempt from the requirements of this subchapter. </w:t>
      </w:r>
      <w:r>
        <w:rPr>
          <w:u w:val="single"/>
        </w:rPr>
        <w:t xml:space="preserve"> </w:t>
      </w:r>
      <w:r>
        <w:rPr>
          <w:u w:val="single"/>
        </w:rP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2020 fall semester. </w:t>
      </w:r>
      <w:r>
        <w:t xml:space="preserve"> </w:t>
      </w:r>
      <w:r>
        <w:t xml:space="preserve">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