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1891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Higher Education;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from the assessment requirements of the Texas Success Initiative for students who achieve a certain score on a high school equivalency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on a high school equivalency examination administered under Section 7.111 is exempt from the requirements of this subchapter. </w:t>
      </w:r>
      <w:r>
        <w:rPr>
          <w:u w:val="single"/>
        </w:rPr>
        <w:t xml:space="preserve"> </w:t>
      </w:r>
      <w:r>
        <w:rPr>
          <w:u w:val="single"/>
        </w:rP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2020 fall semester. </w:t>
      </w:r>
      <w:r>
        <w:t xml:space="preserve"> </w:t>
      </w:r>
      <w:r>
        <w:t xml:space="preserve">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