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w:t xml:space="preserve"> (Senate Sponsor</w:t>
      </w:r>
      <w:r xml:space="preserve">
        <w:t> </w:t>
      </w:r>
      <w:r>
        <w:t xml:space="preserve">-</w:t>
      </w:r>
      <w:r xml:space="preserve">
        <w:t> </w:t>
      </w:r>
      <w:r>
        <w:t xml:space="preserve">Hancock)</w:t>
      </w:r>
      <w:r xml:space="preserve">
        <w:tab wTab="150" tlc="none" cTlc="0"/>
      </w:r>
      <w:r>
        <w:t xml:space="preserve">H.B.</w:t>
      </w:r>
      <w:r xml:space="preserve">
        <w:t> </w:t>
      </w:r>
      <w:r>
        <w:t xml:space="preserve">No.</w:t>
      </w:r>
      <w:r xml:space="preserve">
        <w:t> </w:t>
      </w:r>
      <w:r>
        <w:t xml:space="preserve">1894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16,</w:t>
      </w:r>
      <w:r xml:space="preserve">
        <w:t> </w:t>
      </w:r>
      <w:r>
        <w:t xml:space="preserve">2019; April</w:t>
      </w:r>
      <w:r xml:space="preserve">
        <w:t> </w:t>
      </w:r>
      <w:r>
        <w:t xml:space="preserve">17,</w:t>
      </w:r>
      <w:r xml:space="preserve">
        <w:t> </w:t>
      </w:r>
      <w:r>
        <w:t xml:space="preserve">2019, read first time and referred to Committee on Business &amp; Commerce; May</w:t>
      </w:r>
      <w:r xml:space="preserve">
        <w:t> </w:t>
      </w:r>
      <w:r>
        <w:t xml:space="preserve">9,</w:t>
      </w:r>
      <w:r xml:space="preserve">
        <w:t> </w:t>
      </w:r>
      <w:r>
        <w:t xml:space="preserve">2019, reported adversely, with favorable Committee Substitute by the following vote:</w:t>
      </w:r>
      <w:r>
        <w:t xml:space="preserve"> </w:t>
      </w:r>
      <w:r>
        <w:t xml:space="preserve"> </w:t>
      </w:r>
      <w:r>
        <w:t xml:space="preserve">Yeas 8, Nays</w:t>
      </w:r>
      <w:r xml:space="preserve">
        <w:t> </w:t>
      </w:r>
      <w:r>
        <w:t xml:space="preserve">0; May</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1894</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repeal of the criminal penalty for a violation of the interior designers licensing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1053, Occupations Code, is repealed.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repeal by this Act of Subchapter H, Chapter 1053, Occupations Code, does not apply to an offense committed under that subchapter before the effective date of the repeal. </w:t>
      </w:r>
      <w:r>
        <w:t xml:space="preserve"> </w:t>
      </w:r>
      <w:r>
        <w:t xml:space="preserve">An offense committed before the effective date of the repeal is governed by the law as it existed on the date the offense was committed, and the former law is continued in effect for that purpose. </w:t>
      </w:r>
      <w:r>
        <w:t xml:space="preserve"> </w:t>
      </w:r>
      <w:r>
        <w:t xml:space="preserve">For purposes of this section, an offense was committed before the effective date of the repeal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1894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