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86R20212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replacement cost coverage in policies issued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L-1, Chapter 2210, Insurance Code, is amended by adding Section 2210.5741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2210.5741.</w:t>
      </w:r>
      <w:r>
        <w:rPr>
          <w:u w:val="single"/>
        </w:rPr>
        <w:t xml:space="preserve"> </w:t>
      </w:r>
      <w:r>
        <w:rPr>
          <w:u w:val="single"/>
        </w:rPr>
        <w:t xml:space="preserve"> </w:t>
      </w:r>
      <w:r>
        <w:rPr>
          <w:u w:val="single"/>
        </w:rPr>
        <w:t xml:space="preserve">REPLACEMENT COST COVERAGE CLAIM PROCESSING.  (a) </w:t>
      </w:r>
      <w:r>
        <w:rPr>
          <w:u w:val="single"/>
        </w:rPr>
        <w:t xml:space="preserve"> </w:t>
      </w:r>
      <w:r>
        <w:rPr>
          <w:u w:val="single"/>
        </w:rPr>
        <w:t xml:space="preserve">After the association accepts coverage for a claim in full or in part, a claimant whose association policy includes replacement cost coverage for the claim may request the replacement cost payment by submitting to the association documentation of the cost and completion of the repairs related to the claim not later than the 545th day after the date the claimant receives a notification under Section 2210.573(d)(1)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association receives documentation under Subsection (a), the association shall provide the claimant, in writing, notification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replacement cost payment the association will make;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deadline to request appraisal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shall pay the amount described by Subsection (b)(1) not later than the 10th day after the date notification is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claimant has not demanded appraisal with respect to a claim under Section 2210.574 and the claimant disputes the replacement cost amount the association will pay with respect to the claim, the claimant may demand appraisal of the replacement cost amount not later than the 30th day after the date the claimant receives the notification under Subsection (b). </w:t>
      </w:r>
      <w:r>
        <w:rPr>
          <w:u w:val="single"/>
        </w:rPr>
        <w:t xml:space="preserve"> </w:t>
      </w:r>
      <w:r>
        <w:rPr>
          <w:u w:val="single"/>
        </w:rPr>
        <w:t xml:space="preserve">A claimant may demand appraisal under this section without regard to whether all repairs related to the claim are 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with respect to the deadlines applicable to an appraisal under this section, the appraisal under this section shall be conducted in the same manner as an appraisal demanded under Section 2210.574.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claimant's association policy includes replacement cost coverage, the written notification provided to the claimant under Section 2210.573(d)(1) or (2) must notify the claimant of the deadlines under this section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completing repairs and submitting documentation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demanding appraisal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 extend any deadline established under this subchapter </w:t>
      </w:r>
      <w:r>
        <w:rPr>
          <w:u w:val="single"/>
        </w:rPr>
        <w:t xml:space="preserve">and set the number of days by which the deadline is extended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With reference to claims filed during a particular catastrophe year, the</w:t>
      </w:r>
      <w:r>
        <w:t xml:space="preserve">] extension of deadlines under Subsection (a) </w:t>
      </w:r>
      <w:r>
        <w:rPr>
          <w:u w:val="single"/>
        </w:rPr>
        <w:t xml:space="preserve">related to claims arising from a particular storm</w:t>
      </w:r>
      <w:r>
        <w:t xml:space="preserve"> may not exceed 120 days in the aggregate </w:t>
      </w:r>
      <w:r>
        <w:rPr>
          <w:u w:val="single"/>
        </w:rPr>
        <w:t xml:space="preserve">for deadlines applicable only to the association</w:t>
      </w:r>
      <w:r>
        <w:t xml:space="preserve">. </w:t>
      </w:r>
      <w:r>
        <w:t xml:space="preserve"> </w:t>
      </w:r>
      <w:r>
        <w:rPr>
          <w:u w:val="single"/>
        </w:rPr>
        <w:t xml:space="preserve">The limitation on extensions under this subsection does not apply to the extension of a deadline imposed on a claimant, or on both a claimant and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