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1900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certain operations and functions of the Texas Windstorm Insurance Association and studies relating to the Texas Windstorm Insurance Association and the Fair Access to Insurance Requirements Plan; authorizing a penalty; authorizing an assessment.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2210.071, Insurance Code, is amended to read as follows:</w:t>
      </w:r>
    </w:p>
    <w:p w:rsidR="003F3435" w:rsidRDefault="0032493E">
      <w:pPr>
        <w:spacing w:line="480" w:lineRule="auto"/>
        <w:ind w:firstLine="720"/>
        <w:jc w:val="both"/>
      </w:pPr>
      <w:r>
        <w:t xml:space="preserve">Sec.</w:t>
      </w:r>
      <w:r xml:space="preserve">
        <w:t> </w:t>
      </w:r>
      <w:r>
        <w:t xml:space="preserve">2210.071.</w:t>
      </w:r>
      <w:r xml:space="preserve">
        <w:t> </w:t>
      </w:r>
      <w:r xml:space="preserve">
        <w:t> </w:t>
      </w:r>
      <w:r>
        <w:t xml:space="preserve">PAYMENT OF EXCESS LOSSES.  </w:t>
      </w:r>
      <w:r>
        <w:rPr>
          <w:u w:val="single"/>
        </w:rPr>
        <w:t xml:space="preserve">(a)</w:t>
      </w:r>
      <w:r>
        <w:t xml:space="preserve"> </w:t>
      </w:r>
      <w:r>
        <w:t xml:space="preserve"> </w:t>
      </w:r>
      <w:r>
        <w:t xml:space="preserve">If, in a catastrophe year, an occurrence or series of occurrences in a catastrophe area results in insured losses and operating expenses of the association in excess of premium and other revenue of the association, the excess losses and operating expenses shall be paid as provided by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may not pay insured losses and operating expenses resulting from an occurrence or series of occurrences in a catastrophe year with premium and other revenue earned in a subsequent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2210.0715, Insurance Code, is amended to read as follows:</w:t>
      </w:r>
    </w:p>
    <w:p w:rsidR="003F3435" w:rsidRDefault="0032493E">
      <w:pPr>
        <w:spacing w:line="480" w:lineRule="auto"/>
        <w:ind w:firstLine="720"/>
        <w:jc w:val="both"/>
      </w:pPr>
      <w:r>
        <w:t xml:space="preserve">Sec.</w:t>
      </w:r>
      <w:r xml:space="preserve">
        <w:t> </w:t>
      </w:r>
      <w:r>
        <w:t xml:space="preserve">2210.0715.</w:t>
      </w:r>
      <w:r xml:space="preserve">
        <w:t> </w:t>
      </w:r>
      <w:r xml:space="preserve">
        <w:t> </w:t>
      </w:r>
      <w:r>
        <w:t xml:space="preserve">PAYMENT FROM RESERVES AND TRUST FUND. </w:t>
      </w:r>
      <w:r>
        <w:t xml:space="preserve"> </w:t>
      </w:r>
      <w:r>
        <w:t xml:space="preserve">(a) </w:t>
      </w:r>
      <w:r>
        <w:t xml:space="preserve"> </w:t>
      </w:r>
      <w:r>
        <w:t xml:space="preserve">The association shall pay losses </w:t>
      </w:r>
      <w:r>
        <w:rPr>
          <w:u w:val="single"/>
        </w:rPr>
        <w:t xml:space="preserve">resulting from an occurrence or series of occurrences in a catastrophe year</w:t>
      </w:r>
      <w:r>
        <w:t xml:space="preserve"> in excess of premium and other revenue of the association </w:t>
      </w:r>
      <w:r>
        <w:rPr>
          <w:u w:val="single"/>
        </w:rPr>
        <w:t xml:space="preserve">for that catastrophe year</w:t>
      </w:r>
      <w:r>
        <w:t xml:space="preserve"> from [</w:t>
      </w:r>
      <w:r>
        <w:rPr>
          <w:strike/>
        </w:rPr>
        <w:t xml:space="preserve">available</w:t>
      </w:r>
      <w:r>
        <w:t xml:space="preserve">] reserves of the association </w:t>
      </w:r>
      <w:r>
        <w:rPr>
          <w:u w:val="single"/>
        </w:rPr>
        <w:t xml:space="preserve">available before or accrued during that catastrophe year</w:t>
      </w:r>
      <w:r>
        <w:t xml:space="preserve"> and [</w:t>
      </w:r>
      <w:r>
        <w:rPr>
          <w:strike/>
        </w:rPr>
        <w:t xml:space="preserve">available</w:t>
      </w:r>
      <w:r>
        <w:t xml:space="preserve">] amounts in the catastrophe reserve trust fund </w:t>
      </w:r>
      <w:r>
        <w:rPr>
          <w:u w:val="single"/>
        </w:rPr>
        <w:t xml:space="preserve">available before or accrued during that catastrophe year</w:t>
      </w:r>
      <w:r>
        <w:t xml:space="preserve">.</w:t>
      </w:r>
    </w:p>
    <w:p w:rsidR="003F3435" w:rsidRDefault="0032493E">
      <w:pPr>
        <w:spacing w:line="480" w:lineRule="auto"/>
        <w:ind w:firstLine="720"/>
        <w:jc w:val="both"/>
      </w:pPr>
      <w:r>
        <w:t xml:space="preserve">(b)</w:t>
      </w:r>
      <w:r xml:space="preserve">
        <w:t> </w:t>
      </w:r>
      <w:r xml:space="preserve">
        <w:t> </w:t>
      </w:r>
      <w:r>
        <w:t xml:space="preserve">Proceeds of [</w:t>
      </w:r>
      <w:r>
        <w:rPr>
          <w:strike/>
        </w:rPr>
        <w:t xml:space="preserve">Class 1</w:t>
      </w:r>
      <w:r>
        <w:t xml:space="preserve">] public securities issued </w:t>
      </w:r>
      <w:r>
        <w:rPr>
          <w:u w:val="single"/>
        </w:rPr>
        <w:t xml:space="preserve">or assessments made</w:t>
      </w:r>
      <w:r>
        <w:t xml:space="preserve"> before </w:t>
      </w:r>
      <w:r>
        <w:rPr>
          <w:u w:val="single"/>
        </w:rPr>
        <w:t xml:space="preserve">or as a result</w:t>
      </w:r>
      <w:r>
        <w:t xml:space="preserve"> [</w:t>
      </w:r>
      <w:r>
        <w:rPr>
          <w:strike/>
        </w:rPr>
        <w:t xml:space="preserve">the date</w:t>
      </w:r>
      <w:r>
        <w:t xml:space="preserve">] of any occurrence or series of occurrences </w:t>
      </w:r>
      <w:r>
        <w:rPr>
          <w:u w:val="single"/>
        </w:rPr>
        <w:t xml:space="preserve">in a catastrophe year</w:t>
      </w:r>
      <w:r>
        <w:t xml:space="preserve"> that results in insured losses may not be included in [</w:t>
      </w:r>
      <w:r>
        <w:rPr>
          <w:strike/>
        </w:rPr>
        <w:t xml:space="preserve">available</w:t>
      </w:r>
      <w:r>
        <w:t xml:space="preserve">] reserves </w:t>
      </w:r>
      <w:r>
        <w:rPr>
          <w:u w:val="single"/>
        </w:rPr>
        <w:t xml:space="preserve">available for a subsequent catastrophe year</w:t>
      </w:r>
      <w:r>
        <w:t xml:space="preserve"> for purposes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2210, Insurance Code, is amended by adding Section 2210.1052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2210.1052.</w:t>
      </w:r>
      <w:r>
        <w:rPr>
          <w:u w:val="single"/>
        </w:rPr>
        <w:t xml:space="preserve"> </w:t>
      </w:r>
      <w:r>
        <w:rPr>
          <w:u w:val="single"/>
        </w:rPr>
        <w:t xml:space="preserve"> </w:t>
      </w:r>
      <w:r>
        <w:rPr>
          <w:u w:val="single"/>
        </w:rPr>
        <w:t xml:space="preserve">EMERGENCY MEETING. </w:t>
      </w:r>
      <w:r>
        <w:rPr>
          <w:u w:val="single"/>
        </w:rPr>
        <w:t xml:space="preserve"> </w:t>
      </w:r>
      <w:r>
        <w:rPr>
          <w:u w:val="single"/>
        </w:rPr>
        <w:t xml:space="preserve">If the ultimate loss estimate for an occurrence or series of occurrences made by the chief financial officer or chief actuary of the association indicates member insurers may be subject to an assessment under Subchapter B-1, the board of directors shall call an emergency meeting to notify the member insurers about the assessment.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2210.207(c)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on the effective date of an association policy</w:t>
      </w:r>
      <w:r>
        <w:t xml:space="preserve"> </w:t>
      </w:r>
      <w:r>
        <w:t xml:space="preserve">[</w:t>
      </w:r>
      <w:r>
        <w:rPr>
          <w:strike/>
        </w:rPr>
        <w:t xml:space="preserve">at the time of loss</w:t>
      </w:r>
      <w:r>
        <w:t xml:space="preserve">], the total amount of insurance applicable to a dwelling is equal to 80 percent or more of the full replacement cost of the dwelling or equal to the maximum amount of insurance otherwise available through the association, coverage applicable to the dwelling under the policy is extended to include the full cost of repair or replacement, without a deduction for depreciation.</w:t>
      </w:r>
    </w:p>
    <w:p w:rsidR="003F3435" w:rsidRDefault="0032493E">
      <w:pPr>
        <w:spacing w:line="480" w:lineRule="auto"/>
        <w:ind w:firstLine="720"/>
        <w:jc w:val="both"/>
      </w:pPr>
      <w:r>
        <w:t xml:space="preserve">(d)</w:t>
      </w:r>
      <w:r xml:space="preserve">
        <w:t> </w:t>
      </w:r>
      <w:r xml:space="preserve">
        <w:t> </w:t>
      </w:r>
      <w:r>
        <w:t xml:space="preserve">If, </w:t>
      </w:r>
      <w:r>
        <w:rPr>
          <w:u w:val="single"/>
        </w:rPr>
        <w:t xml:space="preserve">on the effective date of an association policy</w:t>
      </w:r>
      <w:r>
        <w:t xml:space="preserve"> </w:t>
      </w:r>
      <w:r>
        <w:t xml:space="preserve">[</w:t>
      </w:r>
      <w:r>
        <w:rPr>
          <w:strike/>
        </w:rPr>
        <w:t xml:space="preserve">at the time of loss</w:t>
      </w:r>
      <w:r>
        <w:t xml:space="preserve">], the total amount of insurance applicable to a dwelling is equal to less than 80 percent of the full replacement cost of the dwelling and less than the maximum amount of insurance available through the association, liability for loss under the policy may not exceed the replacement cost of the part of the dwelling that is damaged or destroyed, less depreciation.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2210.251(g), Insurance Code, is amended to read as follows:</w:t>
      </w:r>
    </w:p>
    <w:p w:rsidR="003F3435" w:rsidRDefault="0032493E">
      <w:pPr>
        <w:spacing w:line="480" w:lineRule="auto"/>
        <w:ind w:firstLine="720"/>
        <w:jc w:val="both"/>
      </w:pPr>
      <w:r>
        <w:t xml:space="preserve">(g)</w:t>
      </w:r>
      <w:r xml:space="preserve">
        <w:t> </w:t>
      </w:r>
      <w:r xml:space="preserve">
        <w:t> </w:t>
      </w:r>
      <w:r>
        <w:t xml:space="preserve">A certificate of compliance issued by the department [</w:t>
      </w:r>
      <w:r>
        <w:rPr>
          <w:strike/>
        </w:rPr>
        <w:t xml:space="preserve">or association</w:t>
      </w:r>
      <w:r>
        <w:t xml:space="preserve">] under Section 2210.2515 demonstrates compliance with the applicable building code under the plan of operation.  The certificate is evidence of insurability of the structure by the association.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2210.2515, Insurance Code, is amended by amending Subsection (c) and adding Subsections (c-1), (i), (j), and (k) to read as follows:</w:t>
      </w:r>
    </w:p>
    <w:p w:rsidR="003F3435" w:rsidRDefault="0032493E">
      <w:pPr>
        <w:spacing w:line="480" w:lineRule="auto"/>
        <w:ind w:firstLine="720"/>
        <w:jc w:val="both"/>
      </w:pPr>
      <w:r>
        <w:t xml:space="preserve">(c)</w:t>
      </w:r>
      <w:r xml:space="preserve">
        <w:t> </w:t>
      </w:r>
      <w:r xml:space="preserve">
        <w:t> </w:t>
      </w:r>
      <w:r>
        <w:t xml:space="preserve">A person may apply to the </w:t>
      </w:r>
      <w:r>
        <w:rPr>
          <w:u w:val="single"/>
        </w:rPr>
        <w:t xml:space="preserve">department</w:t>
      </w:r>
      <w:r>
        <w:t xml:space="preserve"> [</w:t>
      </w:r>
      <w:r>
        <w:rPr>
          <w:strike/>
        </w:rPr>
        <w:t xml:space="preserve">association</w:t>
      </w:r>
      <w:r>
        <w:t xml:space="preserve">] on a form prescribed by the department for a certificate of compliance for a completed improvement.  The </w:t>
      </w:r>
      <w:r>
        <w:rPr>
          <w:u w:val="single"/>
        </w:rPr>
        <w:t xml:space="preserve">department</w:t>
      </w:r>
      <w:r>
        <w:t xml:space="preserve"> [</w:t>
      </w:r>
      <w:r>
        <w:rPr>
          <w:strike/>
        </w:rPr>
        <w:t xml:space="preserve">association</w:t>
      </w:r>
      <w:r>
        <w:t xml:space="preserve">] shall issue a certificate of compliance for a completed improvement if a professional engineer licensed by the Texas Board of Professional Engineers:</w:t>
      </w:r>
    </w:p>
    <w:p w:rsidR="003F3435" w:rsidRDefault="0032493E">
      <w:pPr>
        <w:spacing w:line="480" w:lineRule="auto"/>
        <w:ind w:firstLine="1440"/>
        <w:jc w:val="both"/>
      </w:pPr>
      <w:r>
        <w:t xml:space="preserve">(1)</w:t>
      </w:r>
      <w:r xml:space="preserve">
        <w:t> </w:t>
      </w:r>
      <w:r xml:space="preserve">
        <w:t> </w:t>
      </w:r>
      <w:r>
        <w:t xml:space="preserve">has designed the improvement, has affixed the engineer's seal on the design, and submits to the </w:t>
      </w:r>
      <w:r>
        <w:rPr>
          <w:u w:val="single"/>
        </w:rPr>
        <w:t xml:space="preserve">department</w:t>
      </w:r>
      <w:r>
        <w:t xml:space="preserve"> [</w:t>
      </w:r>
      <w:r>
        <w:rPr>
          <w:strike/>
        </w:rPr>
        <w:t xml:space="preserve">association</w:t>
      </w:r>
      <w:r>
        <w:t xml:space="preserve">] on a form prescribed by the department an affirmation </w:t>
      </w:r>
      <w:r>
        <w:rPr>
          <w:u w:val="single"/>
        </w:rPr>
        <w:t xml:space="preserve">that the design complies</w:t>
      </w:r>
      <w:r>
        <w:t xml:space="preserve"> [</w:t>
      </w:r>
      <w:r>
        <w:rPr>
          <w:strike/>
        </w:rPr>
        <w:t xml:space="preserve">of compliance</w:t>
      </w:r>
      <w:r>
        <w:t xml:space="preserve">] with the applicable building code under the plan of operation </w:t>
      </w:r>
      <w:r>
        <w:rPr>
          <w:u w:val="single"/>
        </w:rPr>
        <w:t xml:space="preserve">and that the improvement was constructed in accordance with the design</w:t>
      </w:r>
      <w:r>
        <w:t xml:space="preserve">; or</w:t>
      </w:r>
    </w:p>
    <w:p w:rsidR="003F3435" w:rsidRDefault="0032493E">
      <w:pPr>
        <w:spacing w:line="480" w:lineRule="auto"/>
        <w:ind w:firstLine="1440"/>
        <w:jc w:val="both"/>
      </w:pPr>
      <w:r>
        <w:t xml:space="preserve">(2)</w:t>
      </w:r>
      <w:r xml:space="preserve">
        <w:t> </w:t>
      </w:r>
      <w:r xml:space="preserve">
        <w:t> </w:t>
      </w:r>
      <w:r>
        <w:t xml:space="preserve">completes </w:t>
      </w:r>
      <w:r>
        <w:rPr>
          <w:u w:val="single"/>
        </w:rPr>
        <w:t xml:space="preserve">and submits to the department</w:t>
      </w:r>
      <w:r>
        <w:t xml:space="preserve"> a sealed post-construction evaluation report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confirms </w:t>
      </w:r>
      <w:r>
        <w:rPr>
          <w:u w:val="single"/>
        </w:rPr>
        <w:t xml:space="preserve">the improvement's</w:t>
      </w:r>
      <w:r>
        <w:t xml:space="preserve"> compliance with the applicable building code under the plan of operation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documentation supporting the engineer's post-construction evaluation report on a form prescribed by the department on which the engineer has affixed the engineer's seal</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may deny an application for a certificate of compliance under Subsection (c) if the evaluation report or the form prescribed by the department under Subsection (c)(1) is not fully documented as required under Subsection (c).</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is authorized to submit a formal complaint under Chapter 1001, Occupations Code, to the Texas Board of Professional Engineers related to the engineering work of a professional engineer as reflected in the sealed post-construction evaluation report or other materials submitted by an engineer under Subsection (c).</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department finds that a person acting as a qualified inspector under Section 2210.254 has failed to provide complete and accurate information in connection with an inspection for a certificate of compliance under this section, the department may impose a reasonable penalty on the inspector, including by prohibiting the inspector from applying for certificates of compliance under this section. The commissioner may adopt rules as necessary to implement this subsection.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department may rescind a certificate of compliance issued under this section if the department finds that the improvement does not comply with the applicable building code under the plan of operation. The commissioner may adopt rules as necessary to implement this subsection.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H, Chapter 2210, Insurance Code, is amended by adding Section 2210.3511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2210.3511.</w:t>
      </w:r>
      <w:r>
        <w:rPr>
          <w:u w:val="single"/>
        </w:rPr>
        <w:t xml:space="preserve"> </w:t>
      </w:r>
      <w:r>
        <w:rPr>
          <w:u w:val="single"/>
        </w:rPr>
        <w:t xml:space="preserve"> </w:t>
      </w:r>
      <w:r>
        <w:rPr>
          <w:u w:val="single"/>
        </w:rPr>
        <w:t xml:space="preserve">PUBLIC ACCESS TO RATE ADEQUACY ANALYSIS.  (a)</w:t>
      </w:r>
      <w:r>
        <w:rPr>
          <w:u w:val="single"/>
        </w:rPr>
        <w:t xml:space="preserve"> </w:t>
      </w:r>
      <w:r>
        <w:rPr>
          <w:u w:val="single"/>
        </w:rPr>
        <w:t xml:space="preserve"> </w:t>
      </w:r>
      <w:r>
        <w:rPr>
          <w:u w:val="single"/>
        </w:rPr>
        <w:t xml:space="preserve">The association shall make the association's rate adequacy analysis publicly available on its Internet website for at least 14 days before the date the board of directors votes on the submission of a proposed rate filing based on the analysis to the department.  The rate adequacy analysis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user selected hurricane model input assumptions;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output data: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the same content and in the same format that is customarily provided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association by hurricane modelers;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department by the association;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searchable electronic format that allows for efficient analysis and is sufficiently</w:t>
      </w:r>
      <w:r>
        <w:rPr>
          <w:u w:val="single"/>
        </w:rPr>
        <w:t xml:space="preserve"> </w:t>
      </w:r>
      <w:r>
        <w:rPr>
          <w:u w:val="single"/>
        </w:rPr>
        <w:t xml:space="preserve">detailed to allow the historical experience in this state to be compared to results produced by the model.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shall accept public comment with respect to the association's rate adequacy analysis at a public meeting of the board of directors before the board of directors votes on the submission of a proposed rate filing to the department.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2210.453, Insurance Code, is amended by adding Subsections (d) and (e)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cost of the reinsurance purchased or alternative financing mechanisms used under this section in excess of the minimum funding level required by Subsection (b) shall be paid by assessments as provided by this subsection. The association, with the approval of the commissioner, shall notify each member of the association of the amount of the member's assessment under this subsection. The proportion of the cost to each insurer under this subsection shall be determined in the manner used to determine each insurer's participation in the association for the year under Section 2210.052.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member of the association may not recoup an assessment paid under Subsection (d) through a premium surcharge or tax credit.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L-1, Chapter 2210, Insurance Code, is amended by adding Section 2210.5741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2210.5741.</w:t>
      </w:r>
      <w:r>
        <w:rPr>
          <w:u w:val="single"/>
        </w:rPr>
        <w:t xml:space="preserve"> </w:t>
      </w:r>
      <w:r>
        <w:rPr>
          <w:u w:val="single"/>
        </w:rPr>
        <w:t xml:space="preserve"> </w:t>
      </w:r>
      <w:r>
        <w:rPr>
          <w:u w:val="single"/>
        </w:rPr>
        <w:t xml:space="preserve">REPLACEMENT COST COVERAGE CLAIM PROCESSING.  (a) </w:t>
      </w:r>
      <w:r>
        <w:rPr>
          <w:u w:val="single"/>
        </w:rPr>
        <w:t xml:space="preserve"> </w:t>
      </w:r>
      <w:r>
        <w:rPr>
          <w:u w:val="single"/>
        </w:rPr>
        <w:t xml:space="preserve">After the association accepts coverage for a claim in full or in part, a claimant whose association policy includes replacement cost coverage for the claim may request the replacement cost payment by submitting to the association documentation of the cost and completion of the repairs related to the claim not later than the 545th day after the date the claimant receives a notification under Section 2210.573(d)(1) or (2).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30th day after the date the association receives documentation under Subsection (a), the association shall provide the claimant, in writing, notification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the replacement cost payment the association will make;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deadline to request appraisal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association shall pay the amount described by Subsection (b)(1) not later than the 10th day after the date notification is provided under Subsection (b).</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claimant has not demanded appraisal with respect to a claim under Section 2210.574 and the claimant disputes the replacement cost amount the association will pay with respect to the claim, the claimant may demand appraisal of the replacement cost amount not later than the 30th day after the date the claimant receives the notification under Subsection (b). </w:t>
      </w:r>
      <w:r>
        <w:rPr>
          <w:u w:val="single"/>
        </w:rPr>
        <w:t xml:space="preserve"> </w:t>
      </w:r>
      <w:r>
        <w:rPr>
          <w:u w:val="single"/>
        </w:rPr>
        <w:t xml:space="preserve">A claimant may demand appraisal under this section without regard to whether all repairs related to the claim are complete.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with respect to the deadlines applicable to an appraisal under this section, the appraisal under this section shall be conducted in the same manner as an appraisal demanded under Section 2210.574.</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claimant's association policy includes replacement cost coverage, the written notification provided to the claimant under Section 2210.573(d)(1) or (2) must notify the claimant of the deadlines under this section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completing repairs and submitting documentation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demanding appraisal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2210.581, Insurance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Subject to Subsection (b), the commissioner, on a showing of good cause, may by rule extend any deadline established under this subchapter </w:t>
      </w:r>
      <w:r>
        <w:rPr>
          <w:u w:val="single"/>
        </w:rPr>
        <w:t xml:space="preserve">and set the number of days by which the deadline is extended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With reference to claims filed during a particular catastrophe year, the</w:t>
      </w:r>
      <w:r>
        <w:t xml:space="preserve">] extension of deadlines under Subsection (a) </w:t>
      </w:r>
      <w:r>
        <w:rPr>
          <w:u w:val="single"/>
        </w:rPr>
        <w:t xml:space="preserve">related to claims arising from an occurrence</w:t>
      </w:r>
      <w:r>
        <w:t xml:space="preserve"> may not exceed 120 days in the aggregate </w:t>
      </w:r>
      <w:r>
        <w:rPr>
          <w:u w:val="single"/>
        </w:rPr>
        <w:t xml:space="preserve">for deadlines applicable only to the association</w:t>
      </w:r>
      <w:r>
        <w:t xml:space="preserve">. </w:t>
      </w:r>
      <w:r>
        <w:t xml:space="preserve"> </w:t>
      </w:r>
      <w:r>
        <w:rPr>
          <w:u w:val="single"/>
        </w:rPr>
        <w:t xml:space="preserve">The limitation on extensions under this subsection does not apply to the extension of a deadline imposed on a claimant, or on both a claimant and the association.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as necessary to implement this section. 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2210, Insurance Code, is amended by adding Subchapter N-1 to read as follows:</w:t>
      </w:r>
    </w:p>
    <w:p w:rsidR="003F3435" w:rsidRDefault="0032493E">
      <w:pPr>
        <w:spacing w:line="480" w:lineRule="auto"/>
        <w:jc w:val="center"/>
      </w:pPr>
      <w:r>
        <w:rPr>
          <w:u w:val="single"/>
        </w:rPr>
        <w:t xml:space="preserve">SUBCHAPTER N-1. LEGISLATIVE FUNDING AND FUNDING STRUCTURE OVERSIGHT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2210.661.</w:t>
      </w:r>
      <w:r>
        <w:rPr>
          <w:u w:val="single"/>
        </w:rPr>
        <w:t xml:space="preserve"> </w:t>
      </w:r>
      <w:r>
        <w:rPr>
          <w:u w:val="single"/>
        </w:rPr>
        <w:t xml:space="preserve"> </w:t>
      </w:r>
      <w:r>
        <w:rPr>
          <w:u w:val="single"/>
        </w:rPr>
        <w:t xml:space="preserve">DEFINITION.  In this subchapter, "board" means the windstorm insurance legislative funding and funding structure oversight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2210.662.</w:t>
      </w:r>
      <w:r>
        <w:rPr>
          <w:u w:val="single"/>
        </w:rPr>
        <w:t xml:space="preserve"> </w:t>
      </w:r>
      <w:r>
        <w:rPr>
          <w:u w:val="single"/>
        </w:rPr>
        <w:t xml:space="preserve"> </w:t>
      </w:r>
      <w:r>
        <w:rPr>
          <w:u w:val="single"/>
        </w:rPr>
        <w:t xml:space="preserve">COMPOSITION OF BOARD.  The board is composed of eight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of the senate appointed by the lieutenant governor including the chairperson of the Senate Business and Commerce Committee, who shall serve as co-chairperson of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of the house of representatives appointed by the speaker of the house of representatives.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2210.663.</w:t>
      </w:r>
      <w:r>
        <w:rPr>
          <w:u w:val="single"/>
        </w:rPr>
        <w:t xml:space="preserve"> </w:t>
      </w:r>
      <w:r>
        <w:rPr>
          <w:u w:val="single"/>
        </w:rPr>
        <w:t xml:space="preserve"> </w:t>
      </w:r>
      <w:r>
        <w:rPr>
          <w:u w:val="single"/>
        </w:rPr>
        <w:t xml:space="preserve">POWERS AND DUTIES OF BOARD.  (a)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gather information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how the association's current funding and funding structure operate;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how the catastrophic risk pools of other states operate;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information that the board considers necessary to prepare the report required by Section 2210.664;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public meetings to hear testimony from experts, stakeholders, and other interested parties regarding recommendations and proposals for establishing and implementing sustainable funding and a sustainable funding structure for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request reports and other information as necessary to implement this subchapter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association;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experts, stakeholders, and other interested parties described by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2210.664.</w:t>
      </w:r>
      <w:r>
        <w:rPr>
          <w:u w:val="single"/>
        </w:rPr>
        <w:t xml:space="preserve"> </w:t>
      </w:r>
      <w:r>
        <w:rPr>
          <w:u w:val="single"/>
        </w:rPr>
        <w:t xml:space="preserve"> </w:t>
      </w:r>
      <w:r>
        <w:rPr>
          <w:u w:val="single"/>
        </w:rPr>
        <w:t xml:space="preserve">REPORT.  (a) </w:t>
      </w:r>
      <w:r>
        <w:rPr>
          <w:u w:val="single"/>
        </w:rPr>
        <w:t xml:space="preserve"> </w:t>
      </w:r>
      <w:r>
        <w:rPr>
          <w:u w:val="single"/>
        </w:rPr>
        <w:t xml:space="preserve">The board shall prepare a report of the board's findings regarding the current funding and funding structure of the association, problems with the funding and funding structure, and recommendations for legislative action related to the funding, funding structure, and sustainability of the association.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the current funding, funding structure, and sustainability of the association, including the association</w:t>
      </w:r>
      <w:r>
        <w:rPr>
          <w:u w:val="single"/>
        </w:rPr>
        <w:t xml:space="preserve">'s reliance on debt and reinsurance;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for legislative action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address problems with the current funding and funding structure of the association;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foster the stability and sustainability of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November 15, 2020, the board shall deliver the report prepared under Subsection (a)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lieutenant governor;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speaker of the house of representatives.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2210.665.</w:t>
      </w:r>
      <w:r>
        <w:rPr>
          <w:u w:val="single"/>
        </w:rPr>
        <w:t xml:space="preserve"> </w:t>
      </w:r>
      <w:r>
        <w:rPr>
          <w:u w:val="single"/>
        </w:rPr>
        <w:t xml:space="preserve"> </w:t>
      </w:r>
      <w:r>
        <w:rPr>
          <w:u w:val="single"/>
        </w:rPr>
        <w:t xml:space="preserve">EXPIRATION.  This subchapter expires September 1, 2021.</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2210.2515(f), Insurance Code, is repealed.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w:t>
      </w:r>
      <w:r>
        <w:t xml:space="preserve"> </w:t>
      </w:r>
      <w:r>
        <w:t xml:space="preserve">Section 2210.251(g), Insurance Code, as amended by this Act, does not affect the status of a certificate of compliance issued by the Texas Windstorm Insurance Association before June 1, 2020, or after June 1, 2020, in response to an application made before that date for purposes of establishing evidence of insurability.</w:t>
      </w:r>
    </w:p>
    <w:p w:rsidR="003F3435" w:rsidRDefault="0032493E">
      <w:pPr>
        <w:spacing w:line="480" w:lineRule="auto"/>
        <w:ind w:firstLine="720"/>
        <w:jc w:val="both"/>
      </w:pPr>
      <w:r>
        <w:t xml:space="preserve">(b)</w:t>
      </w:r>
      <w:r xml:space="preserve">
        <w:t> </w:t>
      </w:r>
      <w:r xml:space="preserve">
        <w:t> </w:t>
      </w:r>
      <w:r>
        <w:t xml:space="preserve">Section 2210.2515, Insurance Code, as amended by this Act, applies only to an application for a certificate of compliance made on or after June 1, 2020.  An application for a certificate of compliance made before June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(c)</w:t>
      </w:r>
      <w:r xml:space="preserve">
        <w:t> </w:t>
      </w:r>
      <w:r xml:space="preserve">
        <w:t> </w:t>
      </w:r>
      <w:r>
        <w:t xml:space="preserve">Section 2210.3511, Insurance Code, as added by this Act, applies only to a rate adequacy analysis made in relation to a rate filing made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The windstorm insurance legislative oversight board established under Subchapter N, Chapter 2210, Insurance Code, shall conduct a study to evaluate a merger of the Texas Windstorm Insurance Association established under Chapter 2210, Insurance Code, and the Fair Access to Insurance Requirements Plan established under Chapter 2211, Insurance Code.</w:t>
      </w:r>
    </w:p>
    <w:p w:rsidR="003F3435" w:rsidRDefault="0032493E">
      <w:pPr>
        <w:spacing w:line="480" w:lineRule="auto"/>
        <w:ind w:firstLine="720"/>
        <w:jc w:val="both"/>
      </w:pPr>
      <w:r>
        <w:t xml:space="preserve">(b)</w:t>
      </w:r>
      <w:r xml:space="preserve">
        <w:t> </w:t>
      </w:r>
      <w:r xml:space="preserve">
        <w:t> </w:t>
      </w:r>
      <w:r>
        <w:t xml:space="preserve">The evaluation must consider:</w:t>
      </w:r>
    </w:p>
    <w:p w:rsidR="003F3435" w:rsidRDefault="0032493E">
      <w:pPr>
        <w:spacing w:line="480" w:lineRule="auto"/>
        <w:ind w:firstLine="1440"/>
        <w:jc w:val="both"/>
      </w:pPr>
      <w:r>
        <w:t xml:space="preserve">(1)</w:t>
      </w:r>
      <w:r xml:space="preserve">
        <w:t> </w:t>
      </w:r>
      <w:r xml:space="preserve">
        <w:t> </w:t>
      </w:r>
      <w:r>
        <w:t xml:space="preserve">the affordability and availability of windstorm and hail insurance throughout this state and, in particular, in the seacoast territory as defined by Section 2210.003, Insurance Code;</w:t>
      </w:r>
    </w:p>
    <w:p w:rsidR="003F3435" w:rsidRDefault="0032493E">
      <w:pPr>
        <w:spacing w:line="480" w:lineRule="auto"/>
        <w:ind w:firstLine="1440"/>
        <w:jc w:val="both"/>
      </w:pPr>
      <w:r>
        <w:t xml:space="preserve">(2)</w:t>
      </w:r>
      <w:r xml:space="preserve">
        <w:t> </w:t>
      </w:r>
      <w:r xml:space="preserve">
        <w:t> </w:t>
      </w:r>
      <w:r>
        <w:t xml:space="preserve">the affordability and availability of residential property insurance throughout this state and, in particular, in underserved areas as defined by Section 2211.001, Insurance Code;</w:t>
      </w:r>
    </w:p>
    <w:p w:rsidR="003F3435" w:rsidRDefault="0032493E">
      <w:pPr>
        <w:spacing w:line="480" w:lineRule="auto"/>
        <w:ind w:firstLine="1440"/>
        <w:jc w:val="both"/>
      </w:pPr>
      <w:r>
        <w:t xml:space="preserve">(3)</w:t>
      </w:r>
      <w:r xml:space="preserve">
        <w:t> </w:t>
      </w:r>
      <w:r xml:space="preserve">
        <w:t> </w:t>
      </w:r>
      <w:r>
        <w:t xml:space="preserve">the advisability of merging the Texas Windstorm Insurance Association and the Fair Access to Insurance Requirements Plan to provide windstorm and hail and residential property insurance in this state;</w:t>
      </w:r>
    </w:p>
    <w:p w:rsidR="003F3435" w:rsidRDefault="0032493E">
      <w:pPr>
        <w:spacing w:line="480" w:lineRule="auto"/>
        <w:ind w:firstLine="1440"/>
        <w:jc w:val="both"/>
      </w:pPr>
      <w:r>
        <w:t xml:space="preserve">(4)</w:t>
      </w:r>
      <w:r xml:space="preserve">
        <w:t> </w:t>
      </w:r>
      <w:r xml:space="preserve">
        <w:t> </w:t>
      </w:r>
      <w:r>
        <w:t xml:space="preserve">any efficiencies or inefficiencies from a merger of the Texas Windstorm Insurance Association and the Fair Access to Insurance Requirements Plan;</w:t>
      </w:r>
    </w:p>
    <w:p w:rsidR="003F3435" w:rsidRDefault="0032493E">
      <w:pPr>
        <w:spacing w:line="480" w:lineRule="auto"/>
        <w:ind w:firstLine="1440"/>
        <w:jc w:val="both"/>
      </w:pPr>
      <w:r>
        <w:t xml:space="preserve">(5)</w:t>
      </w:r>
      <w:r xml:space="preserve">
        <w:t> </w:t>
      </w:r>
      <w:r xml:space="preserve">
        <w:t> </w:t>
      </w:r>
      <w:r>
        <w:t xml:space="preserve">the funding necessary to ensure that windstorm and hail and residential property insurance are available after the merger of the Texas Windstorm Insurance Association and the Fair Access to Insurance Requirements Plan; and</w:t>
      </w:r>
    </w:p>
    <w:p w:rsidR="003F3435" w:rsidRDefault="0032493E">
      <w:pPr>
        <w:spacing w:line="480" w:lineRule="auto"/>
        <w:ind w:firstLine="1440"/>
        <w:jc w:val="both"/>
      </w:pPr>
      <w:r>
        <w:t xml:space="preserve">(6)</w:t>
      </w:r>
      <w:r xml:space="preserve">
        <w:t> </w:t>
      </w:r>
      <w:r xml:space="preserve">
        <w:t> </w:t>
      </w:r>
      <w:r>
        <w:t xml:space="preserve">any other items the windstorm insurance legislative oversight board determines are relevant to a merger of the Texas Windstorm Insurance Association and the Fair Access to Insurance Requirements Plan.</w:t>
      </w:r>
    </w:p>
    <w:p w:rsidR="003F3435" w:rsidRDefault="0032493E">
      <w:pPr>
        <w:spacing w:line="480" w:lineRule="auto"/>
        <w:ind w:firstLine="720"/>
        <w:jc w:val="both"/>
      </w:pPr>
      <w:r>
        <w:t xml:space="preserve">(c)</w:t>
      </w:r>
      <w:r xml:space="preserve">
        <w:t> </w:t>
      </w:r>
      <w:r xml:space="preserve">
        <w:t> </w:t>
      </w:r>
      <w:r>
        <w:t xml:space="preserve">Not later than January 1, 2021, the windstorm insurance legislative oversight board shall submit to the governor, the lieutenant governor, the speaker of the house of representatives, and the Texas Department of Insurance a written report of the study conducted under this section.  The report must include the findings and legislative recommendations of the board.</w:t>
      </w:r>
    </w:p>
    <w:p w:rsidR="003F3435" w:rsidRDefault="0032493E">
      <w:pPr>
        <w:spacing w:line="480" w:lineRule="auto"/>
        <w:ind w:firstLine="720"/>
        <w:jc w:val="both"/>
      </w:pPr>
      <w:r>
        <w:t xml:space="preserve">(d)</w:t>
      </w:r>
      <w:r xml:space="preserve">
        <w:t> </w:t>
      </w:r>
      <w:r xml:space="preserve">
        <w:t> </w:t>
      </w:r>
      <w:r>
        <w:t xml:space="preserve">This section expires January 1, 2022.</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2210.207 and 2210.581, Insurance Code, as amended by this Act, and Section 2210.5741, Insurance Code, as added by this Act, apply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1900 was passed by the House on April 18, 2019, by the following vote:</w:t>
      </w:r>
      <w:r xml:space="preserve">
        <w:t> </w:t>
      </w:r>
      <w:r xml:space="preserve">
        <w:t> </w:t>
      </w:r>
      <w:r>
        <w:t xml:space="preserve">Yeas 147, Nays 0, 2 present, not voting; and that the House concurred in Senate amendments to H.B. No. 1900 on May 23, 2019, by the following vote:</w:t>
      </w:r>
      <w:r xml:space="preserve">
        <w:t> </w:t>
      </w:r>
      <w:r xml:space="preserve">
        <w:t> </w:t>
      </w:r>
      <w:r>
        <w:t xml:space="preserve">Yeas 143,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1900 was passed by the Senate, with amendments, on May 20,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