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replacement cost coverage in policies issued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2210.207, Insurance Code, as amended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