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1901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8,</w:t>
      </w:r>
      <w:r xml:space="preserve">
        <w:t> </w:t>
      </w:r>
      <w:r>
        <w:t xml:space="preserve">2019, read first time and referred to Committee on State Affairs; May</w:t>
      </w:r>
      <w:r xml:space="preserve">
        <w:t> </w:t>
      </w:r>
      <w:r>
        <w:t xml:space="preserve">17,</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disclosure of certain mental health records of deceased state hospital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611, Health and Safety Code, is amended by adding Section 611.0041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611.0041.</w:t>
      </w:r>
      <w:r>
        <w:rPr>
          <w:u w:val="single"/>
        </w:rPr>
        <w:t xml:space="preserve"> </w:t>
      </w:r>
      <w:r>
        <w:rPr>
          <w:u w:val="single"/>
        </w:rPr>
        <w:t xml:space="preserve"> </w:t>
      </w:r>
      <w:r>
        <w:rPr>
          <w:u w:val="single"/>
        </w:rPr>
        <w:t xml:space="preserve">REQUIRED DISCLOSURE OF CONFIDENTIAL INFORMATION OTHER THAN IN JUDICIAL OR ADMINISTRATIVE PROCEEDING.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"Patient" has the meaning assigned by Section 552.0011.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hospital" has the meaning assigned by Section 552.0011.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a professional shall disclose confidential information to the descendant of a patient of a state hospital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has been deceased for at least 50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professional does not have information indicating that releasing the medical record is inconsistent with any prior expressed preference of the deceased patient or personal representatives of the deceased patient's estate.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receives information from confidential communications or records may not disclose the information except to the extent that disclosure is consistent with the authorized purposes for which the person first obtained the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