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1902</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maximum liability limits for windstorm and hail insurance coverage provided through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2210.501(a), Insurance Code, is amended to read as follows:</w:t>
      </w:r>
    </w:p>
    <w:p w:rsidR="003F3435" w:rsidRDefault="0032493E">
      <w:pPr>
        <w:spacing w:line="480" w:lineRule="auto"/>
        <w:ind w:firstLine="720"/>
        <w:jc w:val="both"/>
      </w:pPr>
      <w:r>
        <w:t xml:space="preserve">(a)</w:t>
      </w:r>
      <w:r xml:space="preserve">
        <w:t> </w:t>
      </w:r>
      <w:r xml:space="preserve">
        <w:t> </w:t>
      </w:r>
      <w:r>
        <w:t xml:space="preserve">The</w:t>
      </w:r>
      <w:r xml:space="preserve">
        <w:t> </w:t>
      </w:r>
      <w:r xml:space="preserve">
        <w:t> </w:t>
      </w:r>
      <w:r>
        <w:t xml:space="preserve">board of directors shall propose the maximum liability limits under a windstorm and hail insurance policy issued by the association under this chapter.</w:t>
      </w:r>
      <w:r xml:space="preserve">
        <w:t> </w:t>
      </w:r>
      <w:r xml:space="preserve">
        <w:t> </w:t>
      </w:r>
      <w:r>
        <w:t xml:space="preserve">The maximum liability limits </w:t>
      </w:r>
      <w:r>
        <w:rPr>
          <w:u w:val="single"/>
        </w:rPr>
        <w:t xml:space="preserve">are considered</w:t>
      </w:r>
      <w:r>
        <w:t xml:space="preserve"> [</w:t>
      </w:r>
      <w:r>
        <w:rPr>
          <w:strike/>
        </w:rPr>
        <w:t xml:space="preserve">must be</w:t>
      </w:r>
      <w:r>
        <w:t xml:space="preserve">] approved by the commissioner </w:t>
      </w:r>
      <w:r>
        <w:rPr>
          <w:u w:val="single"/>
        </w:rPr>
        <w:t xml:space="preserve">unless the commissioner disapproves or modifies the liability limits by order issued not later than the 30th day after the date of receipt of a filing under Section 2210.503</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2210.504(a), Insurance Code, is amended to read as follows:</w:t>
      </w:r>
    </w:p>
    <w:p w:rsidR="003F3435" w:rsidRDefault="0032493E">
      <w:pPr>
        <w:spacing w:line="480" w:lineRule="auto"/>
        <w:ind w:firstLine="720"/>
        <w:jc w:val="both"/>
      </w:pPr>
      <w:r>
        <w:t xml:space="preserve">(a)</w:t>
      </w:r>
      <w:r xml:space="preserve">
        <w:t> </w:t>
      </w:r>
      <w:r xml:space="preserve">
        <w:t> </w:t>
      </w:r>
      <w:r>
        <w:t xml:space="preserve">Not later than the </w:t>
      </w:r>
      <w:r>
        <w:rPr>
          <w:u w:val="single"/>
        </w:rPr>
        <w:t xml:space="preserve">30th</w:t>
      </w:r>
      <w:r>
        <w:t xml:space="preserve"> [</w:t>
      </w:r>
      <w:r>
        <w:rPr>
          <w:strike/>
        </w:rPr>
        <w:t xml:space="preserve">60th</w:t>
      </w:r>
      <w:r>
        <w:t xml:space="preserve">] day after the date </w:t>
      </w:r>
      <w:r>
        <w:rPr>
          <w:u w:val="single"/>
        </w:rPr>
        <w:t xml:space="preserve">the commissioner disapproves or modifies</w:t>
      </w:r>
      <w:r>
        <w:t xml:space="preserve"> [</w:t>
      </w:r>
      <w:r>
        <w:rPr>
          <w:strike/>
        </w:rPr>
        <w:t xml:space="preserve">of receipt of</w:t>
      </w:r>
      <w:r>
        <w:t xml:space="preserve">] a filing under Section 2210.503, and after notice and hearing, the commissioner by order shall approve, disapprove, or modify the proposed adjustment to the maximum liability limits.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proposed maximum liability limit filed on or after January 1, 2020.  A proposed maximum liability limit filed before January 1, 2020,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1902 was passed by the House on April 12, 2019, by the following vote:</w:t>
      </w:r>
      <w:r xml:space="preserve">
        <w:t> </w:t>
      </w:r>
      <w:r xml:space="preserve">
        <w:t> </w:t>
      </w:r>
      <w:r>
        <w:t xml:space="preserve">Yeas 143,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1902 was passed by the Senate on May 15,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1902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