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86R3141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1903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disclosures required in connection with the issuance of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1507.006(b), Insurance Code, is amended to read as follows:</w:t>
      </w:r>
    </w:p>
    <w:p w:rsidR="003F3435" w:rsidRDefault="0032493E">
      <w:pPr>
        <w:spacing w:line="480" w:lineRule="auto"/>
        <w:ind w:firstLine="720"/>
        <w:jc w:val="both"/>
      </w:pPr>
      <w:r>
        <w:t xml:space="preserve">(b)</w:t>
      </w:r>
      <w:r xml:space="preserve">
        <w:t> </w:t>
      </w:r>
      <w:r xml:space="preserve">
        <w:t> </w:t>
      </w:r>
      <w:r>
        <w:t xml:space="preserve">Each applicant for initial coverage [</w:t>
      </w:r>
      <w:r>
        <w:rPr>
          <w:strike/>
        </w:rPr>
        <w:t xml:space="preserve">and each policyholder on renewal of coverage</w:t>
      </w:r>
      <w:r>
        <w:t xml:space="preserve">] must sign the disclosure statement provided by the health carrier under Subsection (a) and return the statement to the health carrier. Under a group policy or contract, the term "applicant" means the employer.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1507.056(b),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Each applicant for initial enrollment [</w:t>
      </w:r>
      <w:r>
        <w:rPr>
          <w:strike/>
        </w:rPr>
        <w:t xml:space="preserve">and each contract holder on renewal</w:t>
      </w:r>
      <w:r>
        <w:t xml:space="preserve">] must sign the disclosure statement provided by the health maintenance organization under Subsection (a) and return the statement to the health maintenance organization. Under a group evidence of coverage, the term "applicant" means the employer.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policy or evidence of coverage delivered, issued for delivery, or renewed on or after the effective date of this Act. </w:t>
      </w:r>
      <w:r>
        <w:t xml:space="preserve"> </w:t>
      </w:r>
      <w:r>
        <w:t xml:space="preserve">A policy or evidence of coverage delivered, issued for delivery,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