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86R4602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1906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or federal waiver of the annual assessment requirements for public school students with significant cognitive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 (b-1), or any other law, and to the extent consistent with federal law, the parent of or person standing in parental relation to a significantly cognitively disabled student may request that the student be exempted from the administration of an alternative assessment instrument adopted or developed under Subsection (b) or (b-1). </w:t>
      </w:r>
      <w:r>
        <w:rPr>
          <w:u w:val="single"/>
        </w:rPr>
        <w:t xml:space="preserve"> </w:t>
      </w:r>
      <w:r>
        <w:rPr>
          <w:u w:val="single"/>
        </w:rPr>
        <w:t xml:space="preserve">If a parent or person standing in parental relation makes a request for exemption under this subsection, the student's admission, review, and dismissal committee, in consultation with the parent or person standing in parental relation, shall determine: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student should be exempted from administration of the alternative assessment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is exempted from administration of the alternative assessment instrument, whether another appropriate method to assess the student's progress is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Education Agency shall apply to the United States Department of Education for a waiver of the annual alternate assessment of students with significant cognitive disabilities required under the Every Student Succeeds Act (20 U.S.C. Section 6301 et seq.) and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