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86R9885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power sources in nursing facilities and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EMERGENCY POWER SOURCE REQUIRED.  Each nursing facility licensed under this chapter shall ensure the facility is equipped with an emergency power source.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EMERGENCY POWER SOURCE REQUIRED.  Each assisted living facility licensed under this chapter shall ensure the facility is equipped with an emergency power source.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rules necessary to implement Sections 242.053 and 247.072,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Sections 242.053 and 247.072, Health and Safety Code, as added by this Act, a nursing facility or assisted living facility, as applicable, is not required to comply with those sections until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