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86R28133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1924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1924:</w:t>
      </w: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C.S.H.B.</w:t>
      </w:r>
      <w:r xml:space="preserve">
        <w:t> </w:t>
      </w:r>
      <w:r>
        <w:t xml:space="preserve">No.</w:t>
      </w:r>
      <w:r xml:space="preserve">
        <w:t> </w:t>
      </w:r>
      <w:r>
        <w:t xml:space="preserve">1924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enforcement of laws regulating small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2006, Government Code, is amended by adding Section 2006.003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2006.003.</w:t>
      </w:r>
      <w:r>
        <w:rPr>
          <w:u w:val="single"/>
        </w:rPr>
        <w:t xml:space="preserve"> </w:t>
      </w:r>
      <w:r>
        <w:rPr>
          <w:u w:val="single"/>
        </w:rPr>
        <w:t xml:space="preserve"> </w:t>
      </w:r>
      <w:r>
        <w:rPr>
          <w:u w:val="single"/>
        </w:rPr>
        <w:t xml:space="preserve">OPPORTUNITY TO REMEDY VIOLATION; POLICY.  (a)  This section applies only to a state agency with regulatory authority over a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impose an administrative penalty against a small business for a first violation of a statute or a rule administered by the agency, other than a violation committed knowingly or intentionally, unless the agency first provides the small business written notice of the violation and an opportunity to remedy the violation within a reasonable time after receiving the notice.  Notwithstanding any other law, a violation is not considered to be a continuing violation during the reasonable time in which the small business attempts in good faith to remedy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agency subject to this section shall adopt a policy consistent with the requirements of Subsection (b).  The policy must provide that the agency will not attempt to recover an administrative penalty during the reasonable time the small business is attempting in good faith to remedy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action taken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to protect public health and safety or the environment;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listed in Section 411.0765(b)(18) in connection with the regulation of financial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state agency shall adopt and implement the policy required by Section 2006.003,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