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86R6873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enforcement of laws regulating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2006, Government Code, is amended by adding Section 2006.003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OPPORTUNITY TO REMEDY VIOLATION; POLICY.  (a)  This section applies only to a state agency with regulatory authority over a small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state agency may impose an administrative penalty or request imposition of a civil penalty against a small business for a first violation of a statute or a rule administered by the agency, the agency must allow the small business the opportunity to remedy the violation.  Notwithstanding any other law, a violation is not considered to be a continuing violation during the time in which the small business attempts to remedy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subject to this section shall adopt a policy consistent with the requirements of Subsection (b).  The policy must provide that the agency will not attempt to recover an administrative penalty or request imposition of a civil penalty while the small business is making reasonable attempts to remedy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state agency shall adopt and implement the policy required by Section 2006.003,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