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86R12495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1929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transactions between a governmental entity and an abortion provider or affiliate of the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PROHIBITED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means an act or procedure performed after pregnancy has been medically verified and with the intent to cause the termination of a pregnancy other than for the purpose of either the birth of a live fetus or removing a dead fetus.  The term does not include birth control devices or oral contraceptives.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"Abortion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licensed under Chapter 245,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that is used substantially for the purpose of performing abortions.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"Affiliate" means an entity or individual that has, with another entity or individual, a legal relationship created or governed by at least one written document.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"Governmental entity" means this state, a state agency in the executive, judicial, or legislative branch of state government, or a political subdivision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"Taxpayer resource transaction" means a sale, purchase, lease, or donation of money, goods, services, or real property, or any other transaction between a governmental entity and a private entity or individual that provides to the private entity or individual something of value derived directly or indirectly from state or local tax revenue, regardless of whether the governmental entity receives something of value in return.  The term does not include the provision of basic governmental services, including fire and police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For purposes of this chapter, a facility is not considered an abortion provider solely because an abortion is performed at the facility to prevent a patient's death or serious impairment in accordance with Section 245.016,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ABORTION PROVIDER AND AFFILIATE TRANSACTIONS PROHIBITED; EXCEPTION.  (a)  Except as provided by Subsection (c), a governmental entity may not enter into a taxpayer resource transaction with an abortion provider or an affiliate of an abortion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or individual is not considered an affiliate of another entity or individual for purposes of this section unless the entity or individual, by way of at least one written document, including a certificate of formation, a franchise agreement, standards of affiliation, bylaws, or a license, demonstrates: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common ownership, management, or control between the parties to the relationship;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existence of a franchise granted by the other entity or individual to the affiliate;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granting or extension of a license or other agreement authorizing the affiliate to use the other entity's or individual's brand name, trademark, service mark, or other registered identification mark.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taxpayer resource transaction that is subject to a federal law in conflict with Subsection (a) as determined by the executive commissioner of the Health and Human Services Commission and confirmed in writing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INJUNCTION; WAIVER OF IMMUNITY.  (a)  The attorney general may bring an action in the name of the state to enjoin a violation of Section 2272.003.  The attorney general may recover reasonable attorney's fees and costs incurred in bringing an action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Sovereign or governmental immunity, as applicable, of a governmental entity to suit and from liability is waived to the extent of liability created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2272, Government Code, as added by this Act, applies only to a taxpayer resource transaction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