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86R24001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Thierry,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inclusion of catastrophic debris management in county emergency management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418.102,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management program required by Subsection (a) and maintained by a county, or in which a county participates, must provide for catastrophic debris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county shall provide for catastrophic debris management in the county's emergency management program or in a program in which the county participates as required by Section 418.102(a-1), Government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